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3C8A" w14:textId="2EEC517B" w:rsidR="00AF51B2" w:rsidRDefault="00AF51B2" w:rsidP="00AF51B2">
      <w:pPr>
        <w:pStyle w:val="Heading1"/>
        <w:jc w:val="center"/>
        <w:rPr>
          <w:sz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32128" behindDoc="0" locked="0" layoutInCell="1" allowOverlap="1" wp14:anchorId="7551D887" wp14:editId="44D38299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339840" cy="0"/>
                <wp:effectExtent l="0" t="0" r="0" b="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A30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0;margin-top:.5pt;width:499.2pt;height:0;z-index:25163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" strokeweight="1.25pt"/>
            </w:pict>
          </mc:Fallback>
        </mc:AlternateContent>
      </w:r>
      <w:r w:rsidR="00A2203E">
        <w:rPr>
          <w:sz w:val="32"/>
        </w:rPr>
        <w:t>Charge</w:t>
      </w:r>
      <w:r w:rsidR="00AA2524">
        <w:rPr>
          <w:sz w:val="32"/>
        </w:rPr>
        <w:t>s</w:t>
      </w:r>
      <w:r w:rsidR="00A2203E">
        <w:rPr>
          <w:sz w:val="32"/>
        </w:rPr>
        <w:t xml:space="preserve"> in an electric field</w:t>
      </w:r>
    </w:p>
    <w:p w14:paraId="6B2154F2" w14:textId="550F0498" w:rsidR="00AF51B2" w:rsidRPr="00503EF5" w:rsidRDefault="00AF51B2" w:rsidP="00AF51B2"/>
    <w:p w14:paraId="2F0D948F" w14:textId="1188A2F0" w:rsidR="00644DB1" w:rsidRDefault="00644DB1" w:rsidP="0057447F">
      <w:pPr>
        <w:spacing w:after="120"/>
        <w:rPr>
          <w:rStyle w:val="IntenseReference"/>
          <w:sz w:val="24"/>
        </w:rPr>
      </w:pPr>
      <w:r>
        <w:rPr>
          <w:rStyle w:val="IntenseReference"/>
          <w:sz w:val="24"/>
        </w:rPr>
        <w:t xml:space="preserve">Content – </w:t>
      </w:r>
      <w:r w:rsidR="00A07528">
        <w:rPr>
          <w:rStyle w:val="IntenseReference"/>
          <w:sz w:val="24"/>
        </w:rPr>
        <w:t>Potential Energy and Work</w:t>
      </w:r>
    </w:p>
    <w:p w14:paraId="3581B910" w14:textId="0FAB1BB9" w:rsidR="001B1513" w:rsidRDefault="00A07528" w:rsidP="00A07528">
      <w:pPr>
        <w:jc w:val="both"/>
        <w:rPr>
          <w:noProof/>
        </w:rPr>
      </w:pPr>
      <w:r w:rsidRPr="00A07528">
        <w:rPr>
          <w:noProof/>
        </w:rPr>
        <w:t>A charge</w:t>
      </w:r>
      <w:r>
        <w:rPr>
          <w:noProof/>
        </w:rPr>
        <w:t xml:space="preserve"> in an e</w:t>
      </w:r>
      <w:r w:rsidRPr="00A07528">
        <w:rPr>
          <w:noProof/>
        </w:rPr>
        <w:t>lectric</w:t>
      </w:r>
      <w:r w:rsidRPr="00A07528">
        <w:t xml:space="preserve"> </w:t>
      </w:r>
      <w:r>
        <w:t xml:space="preserve">field is analogous to </w:t>
      </w:r>
      <w:r w:rsidRPr="00A07528">
        <w:rPr>
          <w:noProof/>
        </w:rPr>
        <w:t>a</w:t>
      </w:r>
      <w:r>
        <w:rPr>
          <w:noProof/>
        </w:rPr>
        <w:t xml:space="preserve">n </w:t>
      </w:r>
      <w:r w:rsidRPr="00A07528">
        <w:rPr>
          <w:noProof/>
        </w:rPr>
        <w:t>object</w:t>
      </w:r>
      <w:r>
        <w:rPr>
          <w:noProof/>
        </w:rPr>
        <w:t xml:space="preserve"> </w:t>
      </w:r>
      <w:r w:rsidRPr="00A07528">
        <w:rPr>
          <w:noProof/>
        </w:rPr>
        <w:t>in</w:t>
      </w:r>
      <w:r>
        <w:t xml:space="preserve"> a gravitational field. An object positioned at</w:t>
      </w:r>
      <w:r w:rsidRPr="00A07528">
        <w:rPr>
          <w:noProof/>
        </w:rPr>
        <w:t xml:space="preserve"> higher</w:t>
      </w:r>
      <w:r>
        <w:t xml:space="preserve"> </w:t>
      </w:r>
      <w:r w:rsidR="00067154">
        <w:t xml:space="preserve">gravitational </w:t>
      </w:r>
      <w:r>
        <w:t xml:space="preserve">potential energy </w:t>
      </w:r>
      <w:r w:rsidRPr="00A07528">
        <w:rPr>
          <w:noProof/>
        </w:rPr>
        <w:t>will</w:t>
      </w:r>
      <w:r w:rsidR="00067154">
        <w:t xml:space="preserve">, if unrestrained, </w:t>
      </w:r>
      <w:r>
        <w:t>naturally move towards</w:t>
      </w:r>
      <w:r w:rsidRPr="00A07528">
        <w:rPr>
          <w:noProof/>
        </w:rPr>
        <w:t xml:space="preserve"> lower</w:t>
      </w:r>
      <w:r>
        <w:t xml:space="preserve"> potential energy. In this </w:t>
      </w:r>
      <w:r w:rsidRPr="00A07528">
        <w:rPr>
          <w:noProof/>
        </w:rPr>
        <w:t>situation</w:t>
      </w:r>
      <w:r>
        <w:rPr>
          <w:noProof/>
        </w:rPr>
        <w:t>,</w:t>
      </w:r>
      <w:r>
        <w:t xml:space="preserve"> work is done by the gravitational force. </w:t>
      </w:r>
      <w:r w:rsidRPr="00A07528">
        <w:rPr>
          <w:noProof/>
        </w:rPr>
        <w:t xml:space="preserve">If we move the object from </w:t>
      </w:r>
      <w:r w:rsidR="00067154">
        <w:rPr>
          <w:noProof/>
        </w:rPr>
        <w:t xml:space="preserve">a position of </w:t>
      </w:r>
      <w:r w:rsidRPr="00A07528">
        <w:rPr>
          <w:noProof/>
        </w:rPr>
        <w:t xml:space="preserve">lower </w:t>
      </w:r>
      <w:r w:rsidR="00067154">
        <w:rPr>
          <w:noProof/>
        </w:rPr>
        <w:t xml:space="preserve">gravitational </w:t>
      </w:r>
      <w:r w:rsidR="00625809">
        <w:rPr>
          <w:noProof/>
        </w:rPr>
        <w:t xml:space="preserve">potential </w:t>
      </w:r>
      <w:r w:rsidR="00067154">
        <w:rPr>
          <w:noProof/>
        </w:rPr>
        <w:t xml:space="preserve">energy </w:t>
      </w:r>
      <w:r w:rsidRPr="00A07528">
        <w:rPr>
          <w:noProof/>
        </w:rPr>
        <w:t>to higher potential energy</w:t>
      </w:r>
      <w:r>
        <w:rPr>
          <w:noProof/>
        </w:rPr>
        <w:t>,</w:t>
      </w:r>
      <w:r w:rsidRPr="00A07528">
        <w:rPr>
          <w:noProof/>
        </w:rPr>
        <w:t xml:space="preserve"> the</w:t>
      </w:r>
      <w:r>
        <w:rPr>
          <w:noProof/>
        </w:rPr>
        <w:t xml:space="preserve">n </w:t>
      </w:r>
      <w:r w:rsidRPr="00A07528">
        <w:rPr>
          <w:noProof/>
        </w:rPr>
        <w:t xml:space="preserve"> work is done by </w:t>
      </w:r>
      <w:r w:rsidR="00067154">
        <w:rPr>
          <w:noProof/>
        </w:rPr>
        <w:t>the</w:t>
      </w:r>
      <w:r>
        <w:rPr>
          <w:noProof/>
        </w:rPr>
        <w:t xml:space="preserve"> external force</w:t>
      </w:r>
      <w:r w:rsidR="00067154">
        <w:rPr>
          <w:noProof/>
        </w:rPr>
        <w:t xml:space="preserve"> used to move it</w:t>
      </w:r>
      <w:r>
        <w:rPr>
          <w:noProof/>
        </w:rPr>
        <w:t>. Similarly, a charge in an electric field, wil</w:t>
      </w:r>
      <w:r w:rsidR="00923CD5">
        <w:rPr>
          <w:noProof/>
        </w:rPr>
        <w:t>l</w:t>
      </w:r>
      <w:r w:rsidR="00067154">
        <w:rPr>
          <w:noProof/>
        </w:rPr>
        <w:t>, if unrestrained,</w:t>
      </w:r>
      <w:r w:rsidR="00625809">
        <w:rPr>
          <w:noProof/>
        </w:rPr>
        <w:t xml:space="preserve"> </w:t>
      </w:r>
      <w:r w:rsidR="00067154">
        <w:rPr>
          <w:noProof/>
        </w:rPr>
        <w:t>naturally</w:t>
      </w:r>
      <w:r>
        <w:rPr>
          <w:noProof/>
        </w:rPr>
        <w:t xml:space="preserve"> move from a higher to lower electric potential energy. The reverse mo</w:t>
      </w:r>
      <w:r w:rsidR="00625809">
        <w:rPr>
          <w:noProof/>
        </w:rPr>
        <w:t>vement from a posiition of lower electrical potential energy</w:t>
      </w:r>
      <w:r>
        <w:rPr>
          <w:noProof/>
        </w:rPr>
        <w:t xml:space="preserve"> will require an external for</w:t>
      </w:r>
      <w:r w:rsidR="008D0E60">
        <w:rPr>
          <w:noProof/>
        </w:rPr>
        <w:t>ce</w:t>
      </w:r>
      <w:r>
        <w:rPr>
          <w:noProof/>
        </w:rPr>
        <w:t xml:space="preserve"> to do the work. </w:t>
      </w:r>
      <w:r w:rsidRPr="005B02FA">
        <w:rPr>
          <w:noProof/>
        </w:rPr>
        <w:t>This</w:t>
      </w:r>
      <w:r>
        <w:rPr>
          <w:noProof/>
        </w:rPr>
        <w:t xml:space="preserve"> </w:t>
      </w:r>
      <w:r w:rsidRPr="005B02FA">
        <w:rPr>
          <w:noProof/>
        </w:rPr>
        <w:t>is illustrated</w:t>
      </w:r>
      <w:r>
        <w:rPr>
          <w:noProof/>
        </w:rPr>
        <w:t xml:space="preserve"> in the diagram below for a charged particle in an electric field created by two conducting parallel plates.</w:t>
      </w:r>
      <w:r w:rsidR="0059446D">
        <w:rPr>
          <w:noProof/>
        </w:rPr>
        <w:t xml:space="preserve"> The arrows </w:t>
      </w:r>
      <w:r w:rsidR="0059446D" w:rsidRPr="000F6B47">
        <w:rPr>
          <w:noProof/>
        </w:rPr>
        <w:t>represent</w:t>
      </w:r>
      <w:r w:rsidR="0059446D">
        <w:rPr>
          <w:noProof/>
        </w:rPr>
        <w:t xml:space="preserve"> the electric field direction.</w:t>
      </w:r>
    </w:p>
    <w:p w14:paraId="01E9A916" w14:textId="77777777" w:rsidR="007441DA" w:rsidRDefault="007441DA" w:rsidP="00A07528">
      <w:pPr>
        <w:jc w:val="both"/>
        <w:rPr>
          <w:noProof/>
        </w:rPr>
      </w:pPr>
    </w:p>
    <w:p w14:paraId="4AC97DB3" w14:textId="53832A4C" w:rsidR="00A07528" w:rsidRDefault="0059446D" w:rsidP="00A07528">
      <w:pPr>
        <w:jc w:val="both"/>
        <w:rPr>
          <w:noProof/>
        </w:rPr>
      </w:pPr>
      <w:r>
        <w:rPr>
          <w:noProof/>
          <w:lang w:val="en-US" w:eastAsia="en-US"/>
        </w:rPr>
        <w:drawing>
          <wp:inline distT="0" distB="0" distL="0" distR="0" wp14:anchorId="69FA9806" wp14:editId="5D11919D">
            <wp:extent cx="6335395" cy="1126490"/>
            <wp:effectExtent l="0" t="0" r="8255" b="0"/>
            <wp:docPr id="13" name="Picture 13" descr="A picture containing music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39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E1880" w14:textId="77777777" w:rsidR="00A07528" w:rsidRDefault="00A07528" w:rsidP="00A07528">
      <w:pPr>
        <w:jc w:val="both"/>
        <w:rPr>
          <w:noProof/>
        </w:rPr>
      </w:pPr>
    </w:p>
    <w:p w14:paraId="19FD476A" w14:textId="4F3559EC" w:rsidR="00A07528" w:rsidRDefault="00625809" w:rsidP="00A07528">
      <w:pPr>
        <w:jc w:val="both"/>
        <w:rPr>
          <w:noProof/>
        </w:rPr>
      </w:pPr>
      <w:r>
        <w:rPr>
          <w:noProof/>
        </w:rPr>
        <w:t>The potential differ</w:t>
      </w:r>
      <w:r w:rsidR="00923CD5">
        <w:rPr>
          <w:noProof/>
        </w:rPr>
        <w:t>e</w:t>
      </w:r>
      <w:r>
        <w:rPr>
          <w:noProof/>
        </w:rPr>
        <w:t xml:space="preserve">nce between two points A and </w:t>
      </w:r>
      <w:r w:rsidR="00CF67A9">
        <w:rPr>
          <w:noProof/>
        </w:rPr>
        <w:t>B</w:t>
      </w:r>
      <w:r>
        <w:rPr>
          <w:noProof/>
        </w:rPr>
        <w:t xml:space="preserve"> in the electric field is defined as t</w:t>
      </w:r>
      <w:r w:rsidR="00A07528">
        <w:rPr>
          <w:noProof/>
        </w:rPr>
        <w:t xml:space="preserve">he amount of work done </w:t>
      </w:r>
      <w:r>
        <w:rPr>
          <w:noProof/>
        </w:rPr>
        <w:t xml:space="preserve">in </w:t>
      </w:r>
      <w:r w:rsidR="00A07528">
        <w:rPr>
          <w:noProof/>
        </w:rPr>
        <w:t xml:space="preserve"> moving a </w:t>
      </w:r>
      <w:r w:rsidR="00923CD5">
        <w:rPr>
          <w:noProof/>
        </w:rPr>
        <w:t xml:space="preserve">unit </w:t>
      </w:r>
      <w:r w:rsidR="00A07528">
        <w:rPr>
          <w:noProof/>
        </w:rPr>
        <w:t>charge</w:t>
      </w:r>
      <w:r w:rsidR="00CF67A9">
        <w:rPr>
          <w:noProof/>
        </w:rPr>
        <w:t xml:space="preserve"> </w:t>
      </w:r>
      <w:r w:rsidR="00A07528">
        <w:rPr>
          <w:noProof/>
        </w:rPr>
        <w:t>from A to B</w:t>
      </w:r>
      <w:r>
        <w:rPr>
          <w:noProof/>
        </w:rPr>
        <w:t xml:space="preserve"> and</w:t>
      </w:r>
      <w:r w:rsidR="00A07528">
        <w:rPr>
          <w:noProof/>
        </w:rPr>
        <w:t xml:space="preserve"> is given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7"/>
      </w:tblGrid>
      <w:tr w:rsidR="00A07528" w14:paraId="4F959468" w14:textId="77777777" w:rsidTr="00A07528">
        <w:tc>
          <w:tcPr>
            <w:tcW w:w="9967" w:type="dxa"/>
            <w:tcBorders>
              <w:top w:val="nil"/>
              <w:left w:val="nil"/>
              <w:bottom w:val="nil"/>
              <w:right w:val="nil"/>
            </w:tcBorders>
          </w:tcPr>
          <w:p w14:paraId="46914F22" w14:textId="54601F3A" w:rsidR="00A07528" w:rsidRDefault="00A07528" w:rsidP="00A07528">
            <w:pPr>
              <w:spacing w:before="80" w:after="80"/>
              <w:jc w:val="both"/>
              <w:rPr>
                <w:noProof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∆U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q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q</m:t>
                    </m:r>
                  </m:den>
                </m:f>
              </m:oMath>
            </m:oMathPara>
          </w:p>
        </w:tc>
      </w:tr>
    </w:tbl>
    <w:p w14:paraId="62DB5278" w14:textId="18379B12" w:rsidR="00A07528" w:rsidRDefault="00A07528" w:rsidP="00A07528">
      <w:pPr>
        <w:jc w:val="both"/>
        <w:rPr>
          <w:noProof/>
        </w:rPr>
      </w:pPr>
      <w:r>
        <w:rPr>
          <w:noProof/>
        </w:rPr>
        <w:t xml:space="preserve">Where </w:t>
      </w:r>
      <m:oMath>
        <m:r>
          <w:rPr>
            <w:rFonts w:ascii="Cambria Math" w:hAnsi="Cambria Math"/>
            <w:noProof/>
          </w:rPr>
          <m:t>∆U</m:t>
        </m:r>
      </m:oMath>
      <w:r>
        <w:rPr>
          <w:noProof/>
        </w:rPr>
        <w:t xml:space="preserve"> is the difference in potential energy between point A and B and </w:t>
      </w:r>
      <m:oMath>
        <m:r>
          <w:rPr>
            <w:rFonts w:ascii="Cambria Math" w:hAnsi="Cambria Math"/>
            <w:noProof/>
          </w:rPr>
          <m:t>q</m:t>
        </m:r>
      </m:oMath>
      <w:r>
        <w:rPr>
          <w:noProof/>
        </w:rPr>
        <w:t xml:space="preserve"> is the charge of the particle. </w:t>
      </w:r>
      <m:oMath>
        <m:r>
          <w:rPr>
            <w:rFonts w:ascii="Cambria Math" w:hAnsi="Cambria Math"/>
            <w:noProof/>
          </w:rPr>
          <m:t>V</m:t>
        </m:r>
      </m:oMath>
      <w:r>
        <w:rPr>
          <w:noProof/>
        </w:rPr>
        <w:t xml:space="preserve"> is   the </w:t>
      </w:r>
      <w:r w:rsidRPr="00A07528">
        <w:rPr>
          <w:noProof/>
          <w:u w:val="single"/>
        </w:rPr>
        <w:t>potential difference</w:t>
      </w:r>
      <w:r>
        <w:rPr>
          <w:noProof/>
        </w:rPr>
        <w:t xml:space="preserve"> or </w:t>
      </w:r>
      <w:r w:rsidR="00923CD5">
        <w:rPr>
          <w:noProof/>
          <w:u w:val="single"/>
        </w:rPr>
        <w:t>v</w:t>
      </w:r>
      <w:r w:rsidRPr="00A07528">
        <w:rPr>
          <w:noProof/>
          <w:u w:val="single"/>
        </w:rPr>
        <w:t>oltage</w:t>
      </w:r>
      <w:r>
        <w:rPr>
          <w:noProof/>
        </w:rPr>
        <w:t xml:space="preserve"> and is given in units of Volts (V) (This concept is important when we deal with electric circuits). </w:t>
      </w:r>
    </w:p>
    <w:p w14:paraId="5C11E523" w14:textId="77777777" w:rsidR="0059446D" w:rsidRDefault="0059446D" w:rsidP="00A07528">
      <w:pPr>
        <w:jc w:val="both"/>
        <w:rPr>
          <w:noProof/>
        </w:rPr>
      </w:pPr>
    </w:p>
    <w:p w14:paraId="31E40043" w14:textId="6C794F17" w:rsidR="0059446D" w:rsidRDefault="00AA2524" w:rsidP="0059446D">
      <w:pPr>
        <w:jc w:val="center"/>
        <w:rPr>
          <w:noProof/>
        </w:rPr>
      </w:pPr>
      <w:r>
        <w:rPr>
          <w:noProof/>
          <w:lang w:val="en-US" w:eastAsia="en-US"/>
        </w:rPr>
        <w:drawing>
          <wp:inline distT="0" distB="0" distL="0" distR="0" wp14:anchorId="04DC221D" wp14:editId="0F8CE248">
            <wp:extent cx="3600000" cy="1172350"/>
            <wp:effectExtent l="0" t="0" r="635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ig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1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BDB76" w14:textId="2F8F2A37" w:rsidR="00A07528" w:rsidRDefault="00A07528" w:rsidP="00A07528">
      <w:pPr>
        <w:jc w:val="both"/>
        <w:rPr>
          <w:noProof/>
        </w:rPr>
      </w:pPr>
    </w:p>
    <w:p w14:paraId="22534C7C" w14:textId="44D45A79" w:rsidR="00A07528" w:rsidRPr="00A07528" w:rsidRDefault="00A07528" w:rsidP="00A07528">
      <w:pPr>
        <w:spacing w:after="120"/>
        <w:rPr>
          <w:rStyle w:val="IntenseReference"/>
          <w:sz w:val="24"/>
        </w:rPr>
      </w:pPr>
      <w:r w:rsidRPr="00A07528">
        <w:rPr>
          <w:rStyle w:val="IntenseReference"/>
          <w:sz w:val="24"/>
        </w:rPr>
        <w:t xml:space="preserve">Content – </w:t>
      </w:r>
      <w:r w:rsidRPr="00A07528">
        <w:rPr>
          <w:rStyle w:val="IntenseReference"/>
          <w:noProof/>
          <w:sz w:val="24"/>
        </w:rPr>
        <w:t>Equipotential</w:t>
      </w:r>
      <w:r w:rsidRPr="00A07528">
        <w:rPr>
          <w:rStyle w:val="IntenseReference"/>
          <w:sz w:val="24"/>
        </w:rPr>
        <w:t xml:space="preserve"> Lines</w:t>
      </w:r>
    </w:p>
    <w:p w14:paraId="22329509" w14:textId="412AD256" w:rsidR="00A07528" w:rsidRDefault="00F8456A" w:rsidP="00A07528">
      <w:pPr>
        <w:jc w:val="both"/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1A57E0A" wp14:editId="3292957F">
            <wp:simplePos x="0" y="0"/>
            <wp:positionH relativeFrom="column">
              <wp:posOffset>1005916</wp:posOffset>
            </wp:positionH>
            <wp:positionV relativeFrom="paragraph">
              <wp:posOffset>788035</wp:posOffset>
            </wp:positionV>
            <wp:extent cx="2952000" cy="1190927"/>
            <wp:effectExtent l="0" t="0" r="1270" b="9525"/>
            <wp:wrapTopAndBottom/>
            <wp:docPr id="14" name="Picture 14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1190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528">
        <w:rPr>
          <w:noProof/>
        </w:rPr>
        <w:t xml:space="preserve">The electric potential can be represented graphically by drawing lines that are perpendicular to the electric field. These lines </w:t>
      </w:r>
      <w:r w:rsidR="00A07528" w:rsidRPr="00A07528">
        <w:rPr>
          <w:noProof/>
        </w:rPr>
        <w:t>represent</w:t>
      </w:r>
      <w:r w:rsidR="00A07528">
        <w:rPr>
          <w:noProof/>
        </w:rPr>
        <w:t xml:space="preserve"> the points at which the electric potential energy is the same</w:t>
      </w:r>
      <w:r w:rsidR="00CF67A9">
        <w:rPr>
          <w:noProof/>
        </w:rPr>
        <w:t xml:space="preserve">. </w:t>
      </w:r>
      <w:r w:rsidR="00A07528">
        <w:rPr>
          <w:noProof/>
        </w:rPr>
        <w:t xml:space="preserve">Hence the name equipotential lines. </w:t>
      </w:r>
      <w:r w:rsidR="00CF67A9">
        <w:rPr>
          <w:noProof/>
        </w:rPr>
        <w:t xml:space="preserve">The concept of equipotential lines in two dimensions can be extended </w:t>
      </w:r>
      <w:r>
        <w:rPr>
          <w:noProof/>
        </w:rPr>
        <w:t>t</w:t>
      </w:r>
      <w:r w:rsidR="00CF67A9">
        <w:rPr>
          <w:noProof/>
        </w:rPr>
        <w:t>o equipoten</w:t>
      </w:r>
      <w:r w:rsidR="00923CD5">
        <w:rPr>
          <w:noProof/>
        </w:rPr>
        <w:t xml:space="preserve">tal </w:t>
      </w:r>
      <w:r w:rsidR="00714FD9">
        <w:rPr>
          <w:noProof/>
        </w:rPr>
        <w:t>surfaces in three dimensions.</w:t>
      </w:r>
      <w:r w:rsidR="00CF67A9">
        <w:rPr>
          <w:noProof/>
        </w:rPr>
        <w:t xml:space="preserve">  </w:t>
      </w:r>
      <w:r w:rsidR="00923CD5">
        <w:rPr>
          <w:noProof/>
        </w:rPr>
        <w:t>F</w:t>
      </w:r>
      <w:r w:rsidR="00A07528">
        <w:rPr>
          <w:noProof/>
        </w:rPr>
        <w:t xml:space="preserve">or two parallel conducting </w:t>
      </w:r>
      <w:r w:rsidR="00A07528" w:rsidRPr="00A07528">
        <w:rPr>
          <w:noProof/>
        </w:rPr>
        <w:t>plates</w:t>
      </w:r>
      <w:r w:rsidR="00A07528">
        <w:rPr>
          <w:noProof/>
        </w:rPr>
        <w:t xml:space="preserve">, the equipotential </w:t>
      </w:r>
      <w:r w:rsidR="00714FD9">
        <w:rPr>
          <w:noProof/>
        </w:rPr>
        <w:t>surfaces</w:t>
      </w:r>
      <w:r w:rsidR="00A07528">
        <w:rPr>
          <w:noProof/>
        </w:rPr>
        <w:t xml:space="preserve"> are </w:t>
      </w:r>
      <w:r w:rsidR="00714FD9">
        <w:rPr>
          <w:noProof/>
        </w:rPr>
        <w:t xml:space="preserve">surfaces </w:t>
      </w:r>
      <w:r w:rsidR="00A07528">
        <w:rPr>
          <w:noProof/>
        </w:rPr>
        <w:t xml:space="preserve"> parallel to the plates.</w:t>
      </w:r>
      <w:r w:rsidR="000F6B47">
        <w:rPr>
          <w:noProof/>
        </w:rPr>
        <w:t xml:space="preserve"> </w:t>
      </w:r>
    </w:p>
    <w:p w14:paraId="449C8129" w14:textId="37AE9F87" w:rsidR="00B97DB9" w:rsidRDefault="0059446D" w:rsidP="00A07528">
      <w:pPr>
        <w:jc w:val="both"/>
        <w:rPr>
          <w:noProof/>
        </w:rPr>
      </w:pPr>
      <w:r>
        <w:rPr>
          <w:noProof/>
        </w:rPr>
        <w:lastRenderedPageBreak/>
        <w:t xml:space="preserve">Since the electric potential along an equipotential line is </w:t>
      </w:r>
      <w:r w:rsidRPr="000F6B47">
        <w:rPr>
          <w:noProof/>
        </w:rPr>
        <w:t>the</w:t>
      </w:r>
      <w:r>
        <w:rPr>
          <w:noProof/>
        </w:rPr>
        <w:t xml:space="preserve"> same, no work is done moving a charged particle along the equipotential line</w:t>
      </w:r>
      <w:r w:rsidR="00A07528">
        <w:rPr>
          <w:noProof/>
        </w:rPr>
        <w:t>. However, moving the particle from one equipotential line to another will require work either by the electric field or an external force.</w:t>
      </w:r>
    </w:p>
    <w:p w14:paraId="4826A792" w14:textId="3036FA81" w:rsidR="00A07528" w:rsidRDefault="005A3604" w:rsidP="00B97DB9">
      <w:pPr>
        <w:jc w:val="center"/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4436254" wp14:editId="32F5FBBF">
            <wp:simplePos x="0" y="0"/>
            <wp:positionH relativeFrom="margin">
              <wp:align>center</wp:align>
            </wp:positionH>
            <wp:positionV relativeFrom="paragraph">
              <wp:posOffset>91440</wp:posOffset>
            </wp:positionV>
            <wp:extent cx="5040000" cy="1242186"/>
            <wp:effectExtent l="0" t="0" r="8255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ig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242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106DB2" w14:textId="0F4CE5A7" w:rsidR="00A07528" w:rsidRDefault="00D165A6" w:rsidP="00A07528">
      <w:pPr>
        <w:jc w:val="both"/>
        <w:rPr>
          <w:noProof/>
        </w:rPr>
      </w:pPr>
      <w:r>
        <w:rPr>
          <w:noProof/>
        </w:rPr>
        <w:t xml:space="preserve">Below are </w:t>
      </w:r>
      <w:r w:rsidR="00823AC8">
        <w:rPr>
          <w:noProof/>
        </w:rPr>
        <w:t xml:space="preserve">two more examples of equipotential lines for a single positive charge and </w:t>
      </w:r>
      <w:r w:rsidR="00714FD9">
        <w:rPr>
          <w:noProof/>
        </w:rPr>
        <w:t xml:space="preserve">for </w:t>
      </w:r>
      <w:r w:rsidR="00823AC8">
        <w:rPr>
          <w:noProof/>
        </w:rPr>
        <w:t>two positive charges.</w:t>
      </w:r>
      <w:r w:rsidR="00B97DB9">
        <w:rPr>
          <w:noProof/>
        </w:rPr>
        <w:t xml:space="preserve"> </w:t>
      </w:r>
      <w:r w:rsidR="00714FD9">
        <w:rPr>
          <w:noProof/>
        </w:rPr>
        <w:t xml:space="preserve">Red lines represent the electri field lines while </w:t>
      </w:r>
      <w:r w:rsidR="00923CD5">
        <w:rPr>
          <w:noProof/>
        </w:rPr>
        <w:t xml:space="preserve">the </w:t>
      </w:r>
      <w:r w:rsidR="00714FD9">
        <w:rPr>
          <w:noProof/>
        </w:rPr>
        <w:t>d</w:t>
      </w:r>
      <w:r w:rsidR="000F6B47">
        <w:rPr>
          <w:noProof/>
        </w:rPr>
        <w:t xml:space="preserve">ashed lines </w:t>
      </w:r>
      <w:r w:rsidR="000F6B47" w:rsidRPr="000F6B47">
        <w:rPr>
          <w:noProof/>
        </w:rPr>
        <w:t>represent</w:t>
      </w:r>
      <w:r w:rsidR="000F6B47">
        <w:rPr>
          <w:noProof/>
        </w:rPr>
        <w:t xml:space="preserve"> the equipotential </w:t>
      </w:r>
      <w:r w:rsidR="00B97DB9">
        <w:rPr>
          <w:noProof/>
        </w:rPr>
        <w:t>lines.</w:t>
      </w:r>
    </w:p>
    <w:p w14:paraId="6F044709" w14:textId="42B9DFDE" w:rsidR="00823AC8" w:rsidRDefault="00B97DB9" w:rsidP="00A07528">
      <w:pPr>
        <w:jc w:val="both"/>
        <w:rPr>
          <w:noProof/>
        </w:rPr>
      </w:pPr>
      <w:r>
        <w:rPr>
          <w:noProof/>
          <w:lang w:val="en-US" w:eastAsia="en-US"/>
        </w:rPr>
        <w:drawing>
          <wp:inline distT="0" distB="0" distL="0" distR="0" wp14:anchorId="2042C1C5" wp14:editId="5282C319">
            <wp:extent cx="6335395" cy="2770505"/>
            <wp:effectExtent l="0" t="0" r="8255" b="0"/>
            <wp:docPr id="17" name="Picture 17" descr="A picture containing objec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g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395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3D05B" w14:textId="77777777" w:rsidR="00FE6630" w:rsidRDefault="00FE6630" w:rsidP="00A07528">
      <w:pPr>
        <w:jc w:val="both"/>
        <w:rPr>
          <w:rStyle w:val="IntenseReference"/>
          <w:sz w:val="24"/>
        </w:rPr>
      </w:pPr>
    </w:p>
    <w:p w14:paraId="3A6E1132" w14:textId="77777777" w:rsidR="00F478EE" w:rsidRDefault="00A07528" w:rsidP="00F478EE">
      <w:pPr>
        <w:jc w:val="both"/>
        <w:rPr>
          <w:rStyle w:val="IntenseReference"/>
          <w:sz w:val="24"/>
        </w:rPr>
      </w:pPr>
      <w:r w:rsidRPr="00A07528">
        <w:rPr>
          <w:rStyle w:val="IntenseReference"/>
          <w:sz w:val="24"/>
        </w:rPr>
        <w:t>Question</w:t>
      </w:r>
      <w:r w:rsidR="000F6B47">
        <w:rPr>
          <w:rStyle w:val="IntenseReference"/>
          <w:sz w:val="24"/>
        </w:rPr>
        <w:t xml:space="preserve"> 1</w:t>
      </w:r>
    </w:p>
    <w:p w14:paraId="6BF273A3" w14:textId="0AB40441" w:rsidR="00A07528" w:rsidRPr="00F8456A" w:rsidRDefault="000F6B47" w:rsidP="00F478EE">
      <w:pPr>
        <w:jc w:val="both"/>
        <w:rPr>
          <w:b/>
          <w:bCs/>
          <w:smallCaps/>
          <w:color w:val="3366FF"/>
          <w:spacing w:val="5"/>
          <w:sz w:val="24"/>
        </w:rPr>
      </w:pPr>
      <w:r>
        <w:rPr>
          <w:noProof/>
        </w:rPr>
        <w:t xml:space="preserve">Calculate the amount of work done by an electric field (1.0 V/m) on a particle with a </w:t>
      </w:r>
      <w:r w:rsidRPr="000F6B47">
        <w:rPr>
          <w:noProof/>
        </w:rPr>
        <w:t>charge</w:t>
      </w:r>
      <w:r>
        <w:rPr>
          <w:noProof/>
        </w:rPr>
        <w:t xml:space="preserve"> of 1.0 C that moves along an equipotential </w:t>
      </w:r>
      <w:r w:rsidR="00C67A2B">
        <w:rPr>
          <w:noProof/>
        </w:rPr>
        <w:t>surface</w:t>
      </w:r>
      <w:r>
        <w:rPr>
          <w:noProof/>
        </w:rPr>
        <w:t>.</w:t>
      </w:r>
    </w:p>
    <w:p w14:paraId="6489EB53" w14:textId="5F9E8AD8" w:rsidR="000F6B47" w:rsidRDefault="000F6B47" w:rsidP="00A07528">
      <w:pPr>
        <w:jc w:val="both"/>
      </w:pPr>
    </w:p>
    <w:p w14:paraId="12940DF0" w14:textId="3D1E0084" w:rsidR="000F6B47" w:rsidRPr="000F6B47" w:rsidRDefault="000F6B47" w:rsidP="00A07528">
      <w:pPr>
        <w:jc w:val="both"/>
        <w:rPr>
          <w:rStyle w:val="IntenseReference"/>
          <w:sz w:val="24"/>
        </w:rPr>
      </w:pPr>
      <w:r w:rsidRPr="000F6B47">
        <w:rPr>
          <w:rStyle w:val="IntenseReference"/>
          <w:sz w:val="24"/>
        </w:rPr>
        <w:t>Question 2</w:t>
      </w:r>
      <w:r w:rsidR="00F478EE">
        <w:rPr>
          <w:rStyle w:val="IntenseReference"/>
          <w:sz w:val="24"/>
        </w:rPr>
        <w:t xml:space="preserve"> - Pencil</w:t>
      </w:r>
    </w:p>
    <w:p w14:paraId="26CE7462" w14:textId="19BF3FCC" w:rsidR="00233F21" w:rsidRPr="00813097" w:rsidRDefault="00FE6630" w:rsidP="00813097">
      <w:pPr>
        <w:jc w:val="both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b/>
          <w:bCs/>
          <w:smallCaps/>
          <w:noProof/>
          <w:color w:val="5B9BD5" w:themeColor="accent1"/>
          <w:spacing w:val="5"/>
          <w:sz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360F8DC" wp14:editId="14D20D2E">
            <wp:simplePos x="0" y="0"/>
            <wp:positionH relativeFrom="margin">
              <wp:posOffset>898804</wp:posOffset>
            </wp:positionH>
            <wp:positionV relativeFrom="paragraph">
              <wp:posOffset>212040</wp:posOffset>
            </wp:positionV>
            <wp:extent cx="4860000" cy="2601235"/>
            <wp:effectExtent l="0" t="0" r="0" b="8890"/>
            <wp:wrapTopAndBottom/>
            <wp:docPr id="19" name="Picture 19" descr="A picture containing sitting, indoor, sky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g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260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B47">
        <w:t>Draw the equipotential lines for the positive and negative charges below.</w:t>
      </w:r>
      <w:bookmarkStart w:id="0" w:name="_GoBack"/>
      <w:bookmarkEnd w:id="0"/>
    </w:p>
    <w:sectPr w:rsidR="00233F21" w:rsidRPr="00813097" w:rsidSect="0060404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F12E2" w14:textId="77777777" w:rsidR="00714FD9" w:rsidRDefault="00714FD9">
      <w:r>
        <w:separator/>
      </w:r>
    </w:p>
  </w:endnote>
  <w:endnote w:type="continuationSeparator" w:id="0">
    <w:p w14:paraId="03795FAF" w14:textId="77777777" w:rsidR="00714FD9" w:rsidRDefault="0071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C6D1" w14:textId="0C4FA655" w:rsidR="00714FD9" w:rsidRDefault="00714FD9" w:rsidP="00067154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>Jeffry Setiadi and Arunima Malik, School of Physics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613D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D3DD" w14:textId="6A8AEE57" w:rsidR="00714FD9" w:rsidRDefault="00714FD9">
    <w:pPr>
      <w:pStyle w:val="Footer"/>
    </w:pPr>
    <w:r>
      <w:t>Jeffry Setiadi and Arunima Malik, School of Physics</w:t>
    </w:r>
    <w:r>
      <w:tab/>
    </w:r>
    <w:r>
      <w:tab/>
    </w:r>
    <w: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01ED4" w14:textId="77777777" w:rsidR="00714FD9" w:rsidRDefault="00714FD9">
      <w:r>
        <w:separator/>
      </w:r>
    </w:p>
  </w:footnote>
  <w:footnote w:type="continuationSeparator" w:id="0">
    <w:p w14:paraId="7D2C7E65" w14:textId="77777777" w:rsidR="00714FD9" w:rsidRDefault="0071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C711" w14:textId="77777777" w:rsidR="00714FD9" w:rsidRPr="00BE0B4B" w:rsidRDefault="00714FD9" w:rsidP="0060404C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0486971" wp14:editId="6501CF8B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9" name="Picture 9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3CC11" w14:textId="68AC9925" w:rsidR="00714FD9" w:rsidRDefault="00714FD9" w:rsidP="0060404C">
    <w:pPr>
      <w:pStyle w:val="HeaderFirstPage"/>
      <w:spacing w:before="240"/>
    </w:pPr>
    <w:r>
      <w:t>HSC Physics Module 4 – Electricity and Magnetism</w:t>
    </w:r>
    <w:r>
      <w:br/>
      <w:t>Electric Field – Potential energy, Work and Equipotential Lines</w:t>
    </w:r>
  </w:p>
  <w:p w14:paraId="549CEB92" w14:textId="7465CB3D" w:rsidR="00714FD9" w:rsidRPr="006357E0" w:rsidRDefault="00714FD9" w:rsidP="00067154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27D0" w14:textId="77777777" w:rsidR="00714FD9" w:rsidRPr="00BE0B4B" w:rsidRDefault="00714FD9" w:rsidP="00067154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542E1B9" wp14:editId="31DA4E40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10" name="Picture 10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24768" w14:textId="53C50DCF" w:rsidR="00714FD9" w:rsidRDefault="00714FD9" w:rsidP="00067154">
    <w:pPr>
      <w:pStyle w:val="HeaderFirstPage"/>
      <w:spacing w:before="240"/>
    </w:pPr>
    <w:r>
      <w:t>HSC Physics Module 4 – Electricity and Magnetism</w:t>
    </w:r>
    <w:r>
      <w:br/>
      <w:t>Electric Field – Potential energy, Work and Equipotential Lines</w:t>
    </w:r>
  </w:p>
  <w:p w14:paraId="1AFA2964" w14:textId="77777777" w:rsidR="00714FD9" w:rsidRDefault="00714FD9" w:rsidP="000671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CAF"/>
    <w:multiLevelType w:val="hybridMultilevel"/>
    <w:tmpl w:val="384AD924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7430"/>
    <w:multiLevelType w:val="hybridMultilevel"/>
    <w:tmpl w:val="8EFCF9CA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DCA"/>
    <w:multiLevelType w:val="hybridMultilevel"/>
    <w:tmpl w:val="581463C8"/>
    <w:lvl w:ilvl="0" w:tplc="46384F4E">
      <w:start w:val="1"/>
      <w:numFmt w:val="bullet"/>
      <w:lvlText w:val=""/>
      <w:lvlJc w:val="left"/>
      <w:pPr>
        <w:ind w:left="771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FC179A0"/>
    <w:multiLevelType w:val="hybridMultilevel"/>
    <w:tmpl w:val="6164A64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E4560"/>
    <w:multiLevelType w:val="hybridMultilevel"/>
    <w:tmpl w:val="4DC4E6D6"/>
    <w:lvl w:ilvl="0" w:tplc="46384F4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8B7565"/>
    <w:multiLevelType w:val="hybridMultilevel"/>
    <w:tmpl w:val="E496D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42006"/>
    <w:multiLevelType w:val="hybridMultilevel"/>
    <w:tmpl w:val="73A29994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12650A"/>
    <w:multiLevelType w:val="hybridMultilevel"/>
    <w:tmpl w:val="F3A465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C6C4E"/>
    <w:multiLevelType w:val="hybridMultilevel"/>
    <w:tmpl w:val="B5CE2BCC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730EF"/>
    <w:multiLevelType w:val="hybridMultilevel"/>
    <w:tmpl w:val="3C52A0D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62A9A"/>
    <w:multiLevelType w:val="hybridMultilevel"/>
    <w:tmpl w:val="BE42631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A17A0"/>
    <w:multiLevelType w:val="hybridMultilevel"/>
    <w:tmpl w:val="7DCA3D90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3040C7"/>
    <w:multiLevelType w:val="hybridMultilevel"/>
    <w:tmpl w:val="B142CFF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172FF"/>
    <w:multiLevelType w:val="hybridMultilevel"/>
    <w:tmpl w:val="1B1A184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11090"/>
    <w:multiLevelType w:val="hybridMultilevel"/>
    <w:tmpl w:val="ADD668F6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6A64D4"/>
    <w:multiLevelType w:val="multilevel"/>
    <w:tmpl w:val="CC54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4E408E"/>
    <w:multiLevelType w:val="hybridMultilevel"/>
    <w:tmpl w:val="6F3CC7E8"/>
    <w:lvl w:ilvl="0" w:tplc="46384F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E50858"/>
    <w:multiLevelType w:val="hybridMultilevel"/>
    <w:tmpl w:val="806C565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2260E"/>
    <w:multiLevelType w:val="hybridMultilevel"/>
    <w:tmpl w:val="DA5EE760"/>
    <w:lvl w:ilvl="0" w:tplc="F852FE9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15"/>
  </w:num>
  <w:num w:numId="5">
    <w:abstractNumId w:val="16"/>
  </w:num>
  <w:num w:numId="6">
    <w:abstractNumId w:val="1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  <w:num w:numId="13">
    <w:abstractNumId w:val="5"/>
  </w:num>
  <w:num w:numId="14">
    <w:abstractNumId w:val="6"/>
  </w:num>
  <w:num w:numId="15">
    <w:abstractNumId w:val="11"/>
  </w:num>
  <w:num w:numId="16">
    <w:abstractNumId w:val="14"/>
  </w:num>
  <w:num w:numId="17">
    <w:abstractNumId w:val="18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yMDIwsTQxNDcyNTBW0lEKTi0uzszPAykwMqgFAC5wKTstAAAA"/>
  </w:docVars>
  <w:rsids>
    <w:rsidRoot w:val="00AF51B2"/>
    <w:rsid w:val="00005D0D"/>
    <w:rsid w:val="00050AEE"/>
    <w:rsid w:val="000510B2"/>
    <w:rsid w:val="00067154"/>
    <w:rsid w:val="00093F68"/>
    <w:rsid w:val="000C4076"/>
    <w:rsid w:val="000F23A0"/>
    <w:rsid w:val="000F6B47"/>
    <w:rsid w:val="0012317F"/>
    <w:rsid w:val="00135199"/>
    <w:rsid w:val="0014130B"/>
    <w:rsid w:val="00174008"/>
    <w:rsid w:val="00182332"/>
    <w:rsid w:val="001A4178"/>
    <w:rsid w:val="001B1513"/>
    <w:rsid w:val="001B4A83"/>
    <w:rsid w:val="001B6DCD"/>
    <w:rsid w:val="001C79CF"/>
    <w:rsid w:val="0020447C"/>
    <w:rsid w:val="00233F21"/>
    <w:rsid w:val="002422F5"/>
    <w:rsid w:val="00247D68"/>
    <w:rsid w:val="00266C9C"/>
    <w:rsid w:val="0029373B"/>
    <w:rsid w:val="00294F04"/>
    <w:rsid w:val="002C4F00"/>
    <w:rsid w:val="003117B7"/>
    <w:rsid w:val="00317A46"/>
    <w:rsid w:val="00326FA9"/>
    <w:rsid w:val="00331BB9"/>
    <w:rsid w:val="00350992"/>
    <w:rsid w:val="0035426C"/>
    <w:rsid w:val="003879D1"/>
    <w:rsid w:val="00396D14"/>
    <w:rsid w:val="003A2AA1"/>
    <w:rsid w:val="003B392D"/>
    <w:rsid w:val="003C1525"/>
    <w:rsid w:val="003C1C2B"/>
    <w:rsid w:val="003D49FD"/>
    <w:rsid w:val="003D4A41"/>
    <w:rsid w:val="003D7DF4"/>
    <w:rsid w:val="003E3A97"/>
    <w:rsid w:val="003E4C38"/>
    <w:rsid w:val="003E71A4"/>
    <w:rsid w:val="00425D26"/>
    <w:rsid w:val="00433049"/>
    <w:rsid w:val="00443A7C"/>
    <w:rsid w:val="004505BA"/>
    <w:rsid w:val="00470603"/>
    <w:rsid w:val="004A3F50"/>
    <w:rsid w:val="004C26D8"/>
    <w:rsid w:val="004C2FA2"/>
    <w:rsid w:val="004E2773"/>
    <w:rsid w:val="004E3CE4"/>
    <w:rsid w:val="004E3D70"/>
    <w:rsid w:val="00515B99"/>
    <w:rsid w:val="005171C7"/>
    <w:rsid w:val="005177F9"/>
    <w:rsid w:val="00517CED"/>
    <w:rsid w:val="00534721"/>
    <w:rsid w:val="00540528"/>
    <w:rsid w:val="00555298"/>
    <w:rsid w:val="005649F2"/>
    <w:rsid w:val="00571C7E"/>
    <w:rsid w:val="0057447F"/>
    <w:rsid w:val="00583DD9"/>
    <w:rsid w:val="00585B54"/>
    <w:rsid w:val="00592771"/>
    <w:rsid w:val="0059446D"/>
    <w:rsid w:val="005A3604"/>
    <w:rsid w:val="005B02FA"/>
    <w:rsid w:val="005B2966"/>
    <w:rsid w:val="005B3440"/>
    <w:rsid w:val="005B4CED"/>
    <w:rsid w:val="005D2AA1"/>
    <w:rsid w:val="005D3814"/>
    <w:rsid w:val="0060404C"/>
    <w:rsid w:val="00606B6A"/>
    <w:rsid w:val="00611686"/>
    <w:rsid w:val="00614FC1"/>
    <w:rsid w:val="00625809"/>
    <w:rsid w:val="00626A14"/>
    <w:rsid w:val="00644DB1"/>
    <w:rsid w:val="00647BB6"/>
    <w:rsid w:val="00651928"/>
    <w:rsid w:val="006863F7"/>
    <w:rsid w:val="00687EFA"/>
    <w:rsid w:val="0069303F"/>
    <w:rsid w:val="006976F1"/>
    <w:rsid w:val="006A4792"/>
    <w:rsid w:val="006E69E7"/>
    <w:rsid w:val="006F15B6"/>
    <w:rsid w:val="006F1C2B"/>
    <w:rsid w:val="006F316F"/>
    <w:rsid w:val="007037CA"/>
    <w:rsid w:val="00714FD9"/>
    <w:rsid w:val="007441DA"/>
    <w:rsid w:val="0074581F"/>
    <w:rsid w:val="007625F5"/>
    <w:rsid w:val="00770D8D"/>
    <w:rsid w:val="00774B18"/>
    <w:rsid w:val="00777F63"/>
    <w:rsid w:val="007F0EC8"/>
    <w:rsid w:val="00813097"/>
    <w:rsid w:val="00823AC8"/>
    <w:rsid w:val="00842B10"/>
    <w:rsid w:val="008505A8"/>
    <w:rsid w:val="00852B47"/>
    <w:rsid w:val="0085686E"/>
    <w:rsid w:val="008737ED"/>
    <w:rsid w:val="00876F56"/>
    <w:rsid w:val="0088596E"/>
    <w:rsid w:val="008A69AB"/>
    <w:rsid w:val="008A6ACC"/>
    <w:rsid w:val="008B78C7"/>
    <w:rsid w:val="008D0E60"/>
    <w:rsid w:val="008E27AF"/>
    <w:rsid w:val="008F2306"/>
    <w:rsid w:val="0091516B"/>
    <w:rsid w:val="00917AF7"/>
    <w:rsid w:val="00923CD5"/>
    <w:rsid w:val="009346FB"/>
    <w:rsid w:val="00943219"/>
    <w:rsid w:val="009613D5"/>
    <w:rsid w:val="00970DE4"/>
    <w:rsid w:val="0097617F"/>
    <w:rsid w:val="009A7480"/>
    <w:rsid w:val="009B2D08"/>
    <w:rsid w:val="009C7DA9"/>
    <w:rsid w:val="009D52B9"/>
    <w:rsid w:val="009E2B63"/>
    <w:rsid w:val="009E5390"/>
    <w:rsid w:val="00A07528"/>
    <w:rsid w:val="00A2203E"/>
    <w:rsid w:val="00A220E0"/>
    <w:rsid w:val="00A26C07"/>
    <w:rsid w:val="00A421C4"/>
    <w:rsid w:val="00A44E03"/>
    <w:rsid w:val="00A46D11"/>
    <w:rsid w:val="00A575D6"/>
    <w:rsid w:val="00A6756C"/>
    <w:rsid w:val="00A76BDD"/>
    <w:rsid w:val="00A81E6A"/>
    <w:rsid w:val="00AA1514"/>
    <w:rsid w:val="00AA2524"/>
    <w:rsid w:val="00AA68F7"/>
    <w:rsid w:val="00AB4D0C"/>
    <w:rsid w:val="00AD34FC"/>
    <w:rsid w:val="00AE028E"/>
    <w:rsid w:val="00AE19D4"/>
    <w:rsid w:val="00AF51B2"/>
    <w:rsid w:val="00AF6EC1"/>
    <w:rsid w:val="00B02791"/>
    <w:rsid w:val="00B11032"/>
    <w:rsid w:val="00B13218"/>
    <w:rsid w:val="00B466D9"/>
    <w:rsid w:val="00B46DE2"/>
    <w:rsid w:val="00B67AB3"/>
    <w:rsid w:val="00B738FD"/>
    <w:rsid w:val="00B77498"/>
    <w:rsid w:val="00B84E8C"/>
    <w:rsid w:val="00B94395"/>
    <w:rsid w:val="00B97DB9"/>
    <w:rsid w:val="00BA7D7F"/>
    <w:rsid w:val="00BB3695"/>
    <w:rsid w:val="00BB7B01"/>
    <w:rsid w:val="00BE0CEC"/>
    <w:rsid w:val="00BE2E0D"/>
    <w:rsid w:val="00BE7812"/>
    <w:rsid w:val="00BF15BE"/>
    <w:rsid w:val="00C43445"/>
    <w:rsid w:val="00C45563"/>
    <w:rsid w:val="00C50C82"/>
    <w:rsid w:val="00C67A2B"/>
    <w:rsid w:val="00C67AB4"/>
    <w:rsid w:val="00C735F8"/>
    <w:rsid w:val="00C808A1"/>
    <w:rsid w:val="00C941CC"/>
    <w:rsid w:val="00C952F8"/>
    <w:rsid w:val="00CA6204"/>
    <w:rsid w:val="00CB1550"/>
    <w:rsid w:val="00CB7F84"/>
    <w:rsid w:val="00CD693B"/>
    <w:rsid w:val="00CE361C"/>
    <w:rsid w:val="00CE5D1C"/>
    <w:rsid w:val="00CF2438"/>
    <w:rsid w:val="00CF67A9"/>
    <w:rsid w:val="00D01E5F"/>
    <w:rsid w:val="00D165A6"/>
    <w:rsid w:val="00D2187D"/>
    <w:rsid w:val="00D77BB7"/>
    <w:rsid w:val="00D8738C"/>
    <w:rsid w:val="00DA158C"/>
    <w:rsid w:val="00DB29C8"/>
    <w:rsid w:val="00DB7EB9"/>
    <w:rsid w:val="00DD19BA"/>
    <w:rsid w:val="00DD712D"/>
    <w:rsid w:val="00E06F97"/>
    <w:rsid w:val="00E1670A"/>
    <w:rsid w:val="00E170E2"/>
    <w:rsid w:val="00E27FD6"/>
    <w:rsid w:val="00E45E13"/>
    <w:rsid w:val="00E66389"/>
    <w:rsid w:val="00E9289D"/>
    <w:rsid w:val="00E96CB9"/>
    <w:rsid w:val="00EA7809"/>
    <w:rsid w:val="00EC0916"/>
    <w:rsid w:val="00EC2FFF"/>
    <w:rsid w:val="00ED4B73"/>
    <w:rsid w:val="00EE2130"/>
    <w:rsid w:val="00EE3BA9"/>
    <w:rsid w:val="00F07A8A"/>
    <w:rsid w:val="00F1090E"/>
    <w:rsid w:val="00F12BB7"/>
    <w:rsid w:val="00F130AF"/>
    <w:rsid w:val="00F478EE"/>
    <w:rsid w:val="00F60770"/>
    <w:rsid w:val="00F8456A"/>
    <w:rsid w:val="00F95F69"/>
    <w:rsid w:val="00FD3DA4"/>
    <w:rsid w:val="00FE0187"/>
    <w:rsid w:val="00FE1D09"/>
    <w:rsid w:val="00FE6630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4CA887"/>
  <w15:docId w15:val="{EF8AABAE-49B8-4E26-B8AB-2D76DC23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1B2"/>
    <w:rPr>
      <w:rFonts w:ascii="Arial" w:eastAsia="Times New Roman" w:hAnsi="Arial" w:cs="Times New Roman"/>
      <w:sz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F51B2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3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B2"/>
    <w:rPr>
      <w:rFonts w:ascii="Arial" w:eastAsia="Times New Roman" w:hAnsi="Arial" w:cs="Times New Roman"/>
      <w:b/>
      <w:bCs/>
      <w:caps/>
      <w:color w:val="000000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rsid w:val="00AF51B2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AF51B2"/>
    <w:rPr>
      <w:rFonts w:ascii="Arial" w:eastAsia="Times New Roman" w:hAnsi="Arial" w:cs="Times New Roman"/>
      <w:i/>
      <w:sz w:val="20"/>
      <w:lang w:val="en-AU" w:eastAsia="en-AU"/>
    </w:rPr>
  </w:style>
  <w:style w:type="paragraph" w:styleId="Footer">
    <w:name w:val="footer"/>
    <w:basedOn w:val="Normal"/>
    <w:link w:val="FooterChar"/>
    <w:rsid w:val="00AF51B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F51B2"/>
    <w:rPr>
      <w:rFonts w:ascii="Arial" w:eastAsia="Times New Roman" w:hAnsi="Arial" w:cs="Times New Roman"/>
      <w:sz w:val="18"/>
      <w:lang w:val="en-AU" w:eastAsia="en-AU"/>
    </w:rPr>
  </w:style>
  <w:style w:type="paragraph" w:customStyle="1" w:styleId="HeaderFirstPage">
    <w:name w:val="HeaderFirstPage"/>
    <w:basedOn w:val="Header"/>
    <w:rsid w:val="00AF51B2"/>
    <w:rPr>
      <w:i w:val="0"/>
      <w:sz w:val="22"/>
    </w:rPr>
  </w:style>
  <w:style w:type="character" w:styleId="IntenseReference">
    <w:name w:val="Intense Reference"/>
    <w:basedOn w:val="DefaultParagraphFont"/>
    <w:uiPriority w:val="32"/>
    <w:qFormat/>
    <w:rsid w:val="00AF51B2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F51B2"/>
    <w:pPr>
      <w:ind w:left="720"/>
      <w:contextualSpacing/>
    </w:pPr>
  </w:style>
  <w:style w:type="table" w:styleId="TableGrid">
    <w:name w:val="Table Grid"/>
    <w:basedOn w:val="TableNormal"/>
    <w:rsid w:val="00AF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7AF7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505A8"/>
    <w:rPr>
      <w:color w:val="808080"/>
    </w:rPr>
  </w:style>
  <w:style w:type="character" w:customStyle="1" w:styleId="tgc">
    <w:name w:val="_tgc"/>
    <w:basedOn w:val="DefaultParagraphFont"/>
    <w:rsid w:val="001C79CF"/>
  </w:style>
  <w:style w:type="character" w:customStyle="1" w:styleId="Heading2Char">
    <w:name w:val="Heading 2 Char"/>
    <w:basedOn w:val="DefaultParagraphFont"/>
    <w:link w:val="Heading2"/>
    <w:uiPriority w:val="9"/>
    <w:rsid w:val="001413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  <w:style w:type="paragraph" w:styleId="NoSpacing">
    <w:name w:val="No Spacing"/>
    <w:uiPriority w:val="1"/>
    <w:qFormat/>
    <w:rsid w:val="00A07528"/>
    <w:rPr>
      <w:rFonts w:ascii="Arial" w:eastAsia="Times New Roman" w:hAnsi="Arial" w:cs="Times New Roman"/>
      <w:sz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60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25737-04E2-4A28-A2B4-AC6D4C1C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Ross</dc:creator>
  <cp:keywords/>
  <dc:description/>
  <cp:lastModifiedBy>Jeffry Setiadi</cp:lastModifiedBy>
  <cp:revision>3</cp:revision>
  <cp:lastPrinted>2017-08-13T23:38:00Z</cp:lastPrinted>
  <dcterms:created xsi:type="dcterms:W3CDTF">2018-02-26T09:14:00Z</dcterms:created>
  <dcterms:modified xsi:type="dcterms:W3CDTF">2018-02-26T09:14:00Z</dcterms:modified>
</cp:coreProperties>
</file>