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EA3C8A" w14:textId="25403785" w:rsidR="00AF51B2" w:rsidRDefault="00AF51B2" w:rsidP="00AF51B2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7551D887" wp14:editId="44D38299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76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3GJgIAAE0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Hk0mUZE&#10;0RZntHOGykPtyIsx0JEClMI+giF4BPvVaZthWKG2xlfMzmqnX4F9t0RBUVN1EIH320UjVuIj4nch&#10;fmM1Zt13n4HjGXp0EJp3rkzrIbEt5BxmdLnPSJwdYfhxNpks5imOkt18Mc1ugdpY90lAS7yRR7Yv&#10;5F5BEtLQ06t1nhbNbgE+q4KNbJogiEaRDrlP50/TEGGhkdx7/TlrDvuiMeREvabCE4pEz+MxA0fF&#10;A1otKF/3tqOyudqYvVEeDytDPr11Fc2PxWixnq/n6SAdz9aDdFSWg5dNkQ5mm+RpWk7KoiiTn55a&#10;kma15Fwoz+4m4CT9O4H0V+kqvbuE732I36OHhiHZ2zuQDqP107zqYg/8sjW3kaNmw+H+fvlL8bhH&#10;+/EvsPoFAAD//wMAUEsDBBQABgAIAAAAIQC1G9L52gAAAAQBAAAPAAAAZHJzL2Rvd25yZXYueG1s&#10;TI9LT8MwEITvSP0P1iJxoxseQm2IUyEePVQUiVJxduMljhqvo9htQ389Wy5wWs3OavabYjb4Vu2p&#10;j01gDVfjDBRxFWzDtYb1x8vlBFRMhq1pA5OGb4owK0dnhcltOPA77VepVhLCMTcaXEpdjhgrR97E&#10;ceiIxfsKvTdJZF+j7c1Bwn2L11l2h940LB+c6ejRUbVd7byGIzpCekufbnkzXz/j8nX+tIhaX5wP&#10;D/egEg3p7xhO+IIOpTBtwo5tVK0GKZJkK0PM6XRyC2rzq7Es8D98+QMAAP//AwBQSwECLQAUAAYA&#10;CAAAACEAtoM4kv4AAADhAQAAEwAAAAAAAAAAAAAAAAAAAAAAW0NvbnRlbnRfVHlwZXNdLnhtbFBL&#10;AQItABQABgAIAAAAIQA4/SH/1gAAAJQBAAALAAAAAAAAAAAAAAAAAC8BAABfcmVscy8ucmVsc1BL&#10;AQItABQABgAIAAAAIQDwYD3GJgIAAE0EAAAOAAAAAAAAAAAAAAAAAC4CAABkcnMvZTJvRG9jLnht&#10;bFBLAQItABQABgAIAAAAIQC1G9L52gAAAAQBAAAPAAAAAAAAAAAAAAAAAIAEAABkcnMvZG93bnJl&#10;di54bWxQSwUGAAAAAAQABADzAAAAhwUAAAAA&#10;" strokeweight="1.25pt"/>
            </w:pict>
          </mc:Fallback>
        </mc:AlternateContent>
      </w:r>
      <w:r w:rsidR="009F4ECD">
        <w:rPr>
          <w:sz w:val="32"/>
        </w:rPr>
        <w:t>Circular Motion</w:t>
      </w:r>
      <w:r w:rsidR="00967B6D">
        <w:rPr>
          <w:sz w:val="32"/>
        </w:rPr>
        <w:t xml:space="preserve"> – </w:t>
      </w:r>
      <w:r w:rsidR="00870153">
        <w:rPr>
          <w:sz w:val="32"/>
        </w:rPr>
        <w:t xml:space="preserve">Energy and </w:t>
      </w:r>
      <w:r w:rsidR="001F27E4">
        <w:rPr>
          <w:sz w:val="32"/>
        </w:rPr>
        <w:t>Work</w:t>
      </w:r>
    </w:p>
    <w:p w14:paraId="17D1FBA2" w14:textId="77777777" w:rsidR="00D967F5" w:rsidRDefault="00D967F5" w:rsidP="0057447F">
      <w:pPr>
        <w:spacing w:after="120"/>
        <w:rPr>
          <w:rStyle w:val="IntenseReference"/>
          <w:sz w:val="24"/>
        </w:rPr>
      </w:pPr>
    </w:p>
    <w:p w14:paraId="1C4FF44D" w14:textId="72052268" w:rsidR="00E16621" w:rsidRDefault="00E16621" w:rsidP="0057447F">
      <w:pPr>
        <w:spacing w:after="120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Content – </w:t>
      </w:r>
      <w:r w:rsidR="002751EC">
        <w:rPr>
          <w:rStyle w:val="IntenseReference"/>
          <w:sz w:val="24"/>
        </w:rPr>
        <w:t>Total Energy</w:t>
      </w:r>
    </w:p>
    <w:p w14:paraId="0839C125" w14:textId="5F3153EB" w:rsidR="00B31A7A" w:rsidRDefault="004E6F7D" w:rsidP="000C15A0">
      <w:pPr>
        <w:jc w:val="both"/>
        <w:rPr>
          <w:noProof/>
        </w:rPr>
      </w:pPr>
      <w:r>
        <w:rPr>
          <w:noProof/>
        </w:rPr>
        <w:t>We have learned the concept of kinetic energ</w:t>
      </w:r>
      <w:r w:rsidR="00CA2AF7">
        <w:rPr>
          <w:noProof/>
        </w:rPr>
        <w:t xml:space="preserve">y in </w:t>
      </w:r>
      <w:r w:rsidR="00A40915" w:rsidRPr="00C64AE7">
        <w:rPr>
          <w:i/>
          <w:noProof/>
        </w:rPr>
        <w:t>M</w:t>
      </w:r>
      <w:r w:rsidR="00CA2AF7" w:rsidRPr="00C64AE7">
        <w:rPr>
          <w:i/>
          <w:noProof/>
        </w:rPr>
        <w:t xml:space="preserve">odule </w:t>
      </w:r>
      <w:r w:rsidR="00A40915" w:rsidRPr="00C64AE7">
        <w:rPr>
          <w:i/>
          <w:noProof/>
        </w:rPr>
        <w:t>2: Dynamics</w:t>
      </w:r>
      <w:r w:rsidR="000C506B">
        <w:rPr>
          <w:noProof/>
        </w:rPr>
        <w:t xml:space="preserve"> and </w:t>
      </w:r>
      <w:r w:rsidR="00201A81">
        <w:rPr>
          <w:noProof/>
        </w:rPr>
        <w:t xml:space="preserve">it </w:t>
      </w:r>
      <w:r w:rsidR="000C506B">
        <w:rPr>
          <w:noProof/>
        </w:rPr>
        <w:t xml:space="preserve">is given </w:t>
      </w:r>
      <w:r w:rsidR="00201A81">
        <w:rPr>
          <w:noProof/>
        </w:rPr>
        <w:t>by</w:t>
      </w:r>
      <w:r w:rsidR="000C506B">
        <w:rPr>
          <w:noProof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2</m:t>
            </m:r>
          </m:den>
        </m:f>
        <m:r>
          <w:rPr>
            <w:rFonts w:ascii="Cambria Math" w:hAnsi="Cambria Math"/>
            <w:noProof/>
          </w:rPr>
          <m:t>m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v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 w:rsidR="000C506B">
        <w:rPr>
          <w:noProof/>
        </w:rPr>
        <w:t xml:space="preserve">. </w:t>
      </w:r>
      <w:r w:rsidR="00C64AE7">
        <w:rPr>
          <w:noProof/>
        </w:rPr>
        <w:t xml:space="preserve">The velocity in the equation is for linear velocity. </w:t>
      </w:r>
      <w:r w:rsidR="00004C16">
        <w:rPr>
          <w:noProof/>
        </w:rPr>
        <w:t>Angular velocity is linear velocity divdied by the radius -</w:t>
      </w:r>
      <w:r w:rsidR="00104A1B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ω=v/r</m:t>
        </m:r>
      </m:oMath>
      <w:r w:rsidR="00CD0302">
        <w:rPr>
          <w:noProof/>
        </w:rPr>
        <w:t>.</w:t>
      </w:r>
      <w:r w:rsidR="00E42287">
        <w:rPr>
          <w:noProof/>
        </w:rPr>
        <w:t xml:space="preserve"> Rearranging th</w:t>
      </w:r>
      <w:r w:rsidR="008B30D7">
        <w:rPr>
          <w:noProof/>
        </w:rPr>
        <w:t>is</w:t>
      </w:r>
      <w:r w:rsidR="00E42287">
        <w:rPr>
          <w:noProof/>
        </w:rPr>
        <w:t xml:space="preserve"> equation to the make linear velocity on the left-hand side</w:t>
      </w:r>
      <w:r w:rsidR="00514F00">
        <w:rPr>
          <w:noProof/>
        </w:rPr>
        <w:t xml:space="preserve"> and substituting into the kinetic energy expression we get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753"/>
      </w:tblGrid>
      <w:tr w:rsidR="00514F00" w14:paraId="46FF71D8" w14:textId="77777777" w:rsidTr="00F6464B">
        <w:tc>
          <w:tcPr>
            <w:tcW w:w="709" w:type="dxa"/>
          </w:tcPr>
          <w:p w14:paraId="36D0FEF8" w14:textId="77777777" w:rsidR="00514F00" w:rsidRDefault="00514F00" w:rsidP="00B31A7A">
            <w:pPr>
              <w:rPr>
                <w:rStyle w:val="IntenseReference"/>
                <w:sz w:val="24"/>
              </w:rPr>
            </w:pPr>
          </w:p>
        </w:tc>
        <w:tc>
          <w:tcPr>
            <w:tcW w:w="8505" w:type="dxa"/>
          </w:tcPr>
          <w:p w14:paraId="0AD231BC" w14:textId="0B380B7F" w:rsidR="0052584C" w:rsidRPr="006D7E04" w:rsidRDefault="00F6464B" w:rsidP="006D7E04">
            <w:pPr>
              <w:spacing w:before="80" w:after="80"/>
              <w:rPr>
                <w:rStyle w:val="IntenseReference"/>
                <w:b w:val="0"/>
                <w:bCs w:val="0"/>
                <w:color w:val="auto"/>
                <w:spacing w:val="0"/>
              </w:rPr>
            </w:pPr>
            <m:oMathPara>
              <m:oMath>
                <m:r>
                  <w:rPr>
                    <w:rFonts w:ascii="Cambria Math" w:hAnsi="Cambria Math"/>
                    <w:smallCaps/>
                    <w:noProof/>
                  </w:rPr>
                  <m:t>KE</m:t>
                </m:r>
                <m:r>
                  <m:rPr>
                    <m:sty m:val="p"/>
                    <m:aln/>
                  </m:rPr>
                  <w:rPr>
                    <w:rFonts w:ascii="Cambria Math" w:hAnsi="Cambria Math"/>
                    <w:smallCaps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mallCaps/>
                        <w:noProof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mallCaps/>
                        <w:noProof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mallCaps/>
                        <w:noProof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mallCaps/>
                    <w:noProof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mallCaps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mallCaps/>
                        <w:noProof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mallCaps/>
                        <w:noProof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smallCaps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smallCaps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mallCaps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mallCaps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mallCaps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mallCap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mallCaps/>
                          </w:rPr>
                          <m:t>ωr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mallCaps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smallCaps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smallCaps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mallCaps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mallCaps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mallCaps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mallCaps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mallCaps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mallCaps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mallCaps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smallCaps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smallCaps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mallCaps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mallCaps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mallCaps/>
                  </w:rPr>
                  <m:t>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mallCaps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mallCaps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53" w:type="dxa"/>
            <w:vAlign w:val="bottom"/>
          </w:tcPr>
          <w:p w14:paraId="3CCAB145" w14:textId="656A8972" w:rsidR="00514F00" w:rsidRPr="00F6464B" w:rsidRDefault="00F6464B" w:rsidP="00F6464B">
            <w:pPr>
              <w:spacing w:after="80"/>
              <w:jc w:val="right"/>
              <w:rPr>
                <w:bCs/>
                <w:smallCaps/>
                <w:noProof/>
              </w:rPr>
            </w:pPr>
            <w:r w:rsidRPr="00F6464B">
              <w:rPr>
                <w:bCs/>
                <w:smallCaps/>
                <w:noProof/>
              </w:rPr>
              <w:t>(1)</w:t>
            </w:r>
          </w:p>
        </w:tc>
      </w:tr>
    </w:tbl>
    <w:p w14:paraId="5EDE79D0" w14:textId="026D5A88" w:rsidR="00514F00" w:rsidRDefault="00F6464B" w:rsidP="00560D81">
      <w:pPr>
        <w:spacing w:after="120"/>
        <w:jc w:val="both"/>
        <w:rPr>
          <w:noProof/>
        </w:rPr>
      </w:pPr>
      <w:r w:rsidRPr="00F6464B">
        <w:rPr>
          <w:noProof/>
        </w:rPr>
        <w:t>I</w:t>
      </w:r>
      <w:r>
        <w:rPr>
          <w:noProof/>
        </w:rPr>
        <w:t xml:space="preserve">n the last step </w:t>
      </w:r>
      <w:r w:rsidR="008441FF">
        <w:rPr>
          <w:noProof/>
        </w:rPr>
        <w:t>we have replaced</w:t>
      </w:r>
      <w:r w:rsidR="00433916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m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r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 w:rsidR="008441FF">
        <w:rPr>
          <w:noProof/>
        </w:rPr>
        <w:t xml:space="preserve"> with the variable </w:t>
      </w:r>
      <m:oMath>
        <m:r>
          <w:rPr>
            <w:rFonts w:ascii="Cambria Math" w:hAnsi="Cambria Math"/>
            <w:noProof/>
          </w:rPr>
          <m:t>I</m:t>
        </m:r>
      </m:oMath>
      <w:r w:rsidR="00433916">
        <w:rPr>
          <w:noProof/>
        </w:rPr>
        <w:t xml:space="preserve">. This quantity is called the </w:t>
      </w:r>
      <w:r w:rsidR="00433916" w:rsidRPr="0016366A">
        <w:rPr>
          <w:i/>
          <w:noProof/>
        </w:rPr>
        <w:t>moment of inertia</w:t>
      </w:r>
      <w:r w:rsidR="000C15A0">
        <w:rPr>
          <w:noProof/>
        </w:rPr>
        <w:t xml:space="preserve"> or </w:t>
      </w:r>
      <w:r w:rsidR="000C15A0" w:rsidRPr="0016366A">
        <w:rPr>
          <w:i/>
          <w:noProof/>
        </w:rPr>
        <w:t>rotational inertia</w:t>
      </w:r>
      <w:r w:rsidR="005C1A22">
        <w:rPr>
          <w:noProof/>
        </w:rPr>
        <w:t xml:space="preserve"> and</w:t>
      </w:r>
      <w:r w:rsidR="009F12DD">
        <w:rPr>
          <w:noProof/>
        </w:rPr>
        <w:t xml:space="preserve"> is a measure </w:t>
      </w:r>
      <w:r w:rsidR="0016366A">
        <w:rPr>
          <w:noProof/>
        </w:rPr>
        <w:t>of how much an object resist</w:t>
      </w:r>
      <w:r w:rsidR="00004C16">
        <w:rPr>
          <w:noProof/>
        </w:rPr>
        <w:t>s</w:t>
      </w:r>
      <w:r w:rsidR="0016366A">
        <w:rPr>
          <w:noProof/>
        </w:rPr>
        <w:t xml:space="preserve"> rotational motion. </w:t>
      </w:r>
    </w:p>
    <w:p w14:paraId="067A01F4" w14:textId="6D39249C" w:rsidR="00F13E2A" w:rsidRDefault="00F13E2A" w:rsidP="007D4767">
      <w:pPr>
        <w:spacing w:after="120"/>
        <w:jc w:val="both"/>
        <w:rPr>
          <w:noProof/>
        </w:rPr>
      </w:pPr>
      <w:r w:rsidRPr="00F13E2A">
        <w:rPr>
          <w:noProof/>
        </w:rPr>
        <w:t xml:space="preserve">The </w:t>
      </w:r>
      <w:r>
        <w:rPr>
          <w:noProof/>
        </w:rPr>
        <w:t xml:space="preserve">potential energy </w:t>
      </w:r>
      <w:r w:rsidR="00373E12">
        <w:rPr>
          <w:noProof/>
        </w:rPr>
        <w:t xml:space="preserve">of a body is given by </w:t>
      </w:r>
      <m:oMath>
        <m:r>
          <w:rPr>
            <w:rFonts w:ascii="Cambria Math" w:hAnsi="Cambria Math"/>
            <w:noProof/>
          </w:rPr>
          <m:t>PE=mgh</m:t>
        </m:r>
      </m:oMath>
      <w:r w:rsidR="005F6300">
        <w:rPr>
          <w:noProof/>
        </w:rPr>
        <w:t>, which depends on the height. For a circular motion on a flat surface</w:t>
      </w:r>
      <w:r w:rsidR="00203107">
        <w:rPr>
          <w:noProof/>
        </w:rPr>
        <w:t>,</w:t>
      </w:r>
      <w:r w:rsidR="005F6300">
        <w:rPr>
          <w:noProof/>
        </w:rPr>
        <w:t xml:space="preserve"> </w:t>
      </w:r>
      <w:r w:rsidR="006B0910">
        <w:rPr>
          <w:noProof/>
        </w:rPr>
        <w:t>like a car turning in a roundabout</w:t>
      </w:r>
      <w:r w:rsidR="00203107">
        <w:rPr>
          <w:noProof/>
        </w:rPr>
        <w:t xml:space="preserve">, the height can be considered zero </w:t>
      </w:r>
      <w:r w:rsidR="00253889">
        <w:rPr>
          <w:noProof/>
        </w:rPr>
        <w:t>resulting in a zero</w:t>
      </w:r>
      <w:r w:rsidR="00203107">
        <w:rPr>
          <w:noProof/>
        </w:rPr>
        <w:t xml:space="preserve"> </w:t>
      </w:r>
      <w:r w:rsidR="00560D81">
        <w:rPr>
          <w:noProof/>
        </w:rPr>
        <w:t>potential energy.</w:t>
      </w:r>
      <w:r w:rsidR="00EF098D">
        <w:rPr>
          <w:noProof/>
        </w:rPr>
        <w:t xml:space="preserve"> Thus</w:t>
      </w:r>
      <w:r w:rsidR="005F11FF">
        <w:rPr>
          <w:noProof/>
        </w:rPr>
        <w:t>,</w:t>
      </w:r>
      <w:r w:rsidR="00EF098D">
        <w:rPr>
          <w:noProof/>
        </w:rPr>
        <w:t xml:space="preserve"> the total energy for a</w:t>
      </w:r>
      <w:r w:rsidR="00FB6BFC">
        <w:rPr>
          <w:noProof/>
        </w:rPr>
        <w:t>n object in</w:t>
      </w:r>
      <w:r w:rsidR="00EF098D">
        <w:rPr>
          <w:noProof/>
        </w:rPr>
        <w:t xml:space="preserve"> uniform circular motion on a flat </w:t>
      </w:r>
      <w:r w:rsidR="009A6E36">
        <w:rPr>
          <w:noProof/>
        </w:rPr>
        <w:t xml:space="preserve">horizontal </w:t>
      </w:r>
      <w:r w:rsidR="00EF098D">
        <w:rPr>
          <w:noProof/>
        </w:rPr>
        <w:t>surface is</w:t>
      </w:r>
      <w:r w:rsidR="009B2D18">
        <w:rPr>
          <w:noProof/>
        </w:rPr>
        <w:t xml:space="preserve"> just </w:t>
      </w:r>
      <w:r w:rsidR="00FB328A">
        <w:rPr>
          <w:noProof/>
        </w:rPr>
        <w:t>the rotational kinetic energy</w:t>
      </w:r>
      <w:r w:rsidR="00672F52">
        <w:rPr>
          <w:noProof/>
        </w:rPr>
        <w:t xml:space="preserve"> as shown in </w:t>
      </w:r>
      <w:r w:rsidR="00A43450">
        <w:rPr>
          <w:noProof/>
        </w:rPr>
        <w:t>Figure (A) below.</w:t>
      </w:r>
    </w:p>
    <w:p w14:paraId="443E5FD2" w14:textId="3D3179E4" w:rsidR="006910F5" w:rsidRDefault="00180212" w:rsidP="006910F5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 wp14:anchorId="2E1DEF41" wp14:editId="7FC5F7BD">
            <wp:extent cx="3373967" cy="1733483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undaboo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76" cy="173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37334" w14:textId="09DB5A83" w:rsidR="00A43450" w:rsidRDefault="00A43450" w:rsidP="00BC3CF2">
      <w:pPr>
        <w:spacing w:after="120"/>
        <w:jc w:val="both"/>
        <w:rPr>
          <w:noProof/>
        </w:rPr>
      </w:pPr>
      <w:r>
        <w:rPr>
          <w:noProof/>
        </w:rPr>
        <w:t xml:space="preserve">If the </w:t>
      </w:r>
      <w:r w:rsidR="00093AFD">
        <w:rPr>
          <w:noProof/>
        </w:rPr>
        <w:t xml:space="preserve">circular motion </w:t>
      </w:r>
      <w:r w:rsidR="00DC211B">
        <w:rPr>
          <w:noProof/>
        </w:rPr>
        <w:t xml:space="preserve">varies with height then the potential energy </w:t>
      </w:r>
      <w:r w:rsidR="00A536B8">
        <w:rPr>
          <w:noProof/>
        </w:rPr>
        <w:t xml:space="preserve">is not necesarrily zero. Figure (B) shows a Ferris wheel </w:t>
      </w:r>
      <w:r w:rsidR="0012317B">
        <w:rPr>
          <w:noProof/>
        </w:rPr>
        <w:t xml:space="preserve">with </w:t>
      </w:r>
      <w:r w:rsidR="00004C16">
        <w:rPr>
          <w:noProof/>
        </w:rPr>
        <w:t>8</w:t>
      </w:r>
      <w:r w:rsidR="0012317B">
        <w:rPr>
          <w:noProof/>
        </w:rPr>
        <w:t xml:space="preserve"> carriege</w:t>
      </w:r>
      <w:r w:rsidR="005C298A">
        <w:rPr>
          <w:noProof/>
        </w:rPr>
        <w:t>s</w:t>
      </w:r>
      <w:r w:rsidR="00B9428D">
        <w:rPr>
          <w:noProof/>
        </w:rPr>
        <w:t>.</w:t>
      </w:r>
      <w:r w:rsidR="0014461D">
        <w:rPr>
          <w:noProof/>
        </w:rPr>
        <w:t xml:space="preserve"> </w:t>
      </w:r>
      <w:r w:rsidR="005C298A">
        <w:rPr>
          <w:noProof/>
        </w:rPr>
        <w:t xml:space="preserve">The total energy </w:t>
      </w:r>
      <w:r w:rsidR="00F6136A">
        <w:rPr>
          <w:noProof/>
        </w:rPr>
        <w:t xml:space="preserve">is equal to the </w:t>
      </w:r>
      <w:r w:rsidR="00F50804">
        <w:rPr>
          <w:noProof/>
        </w:rPr>
        <w:t xml:space="preserve">rotational </w:t>
      </w:r>
      <w:r w:rsidR="00F6136A">
        <w:rPr>
          <w:noProof/>
        </w:rPr>
        <w:t xml:space="preserve">kinetic energy plus the potential energy. The potential energy at </w:t>
      </w:r>
      <w:r w:rsidR="00DE3DB3">
        <w:rPr>
          <w:noProof/>
        </w:rPr>
        <w:t xml:space="preserve">the bottom, carriege </w:t>
      </w:r>
      <w:r w:rsidR="00004C16">
        <w:rPr>
          <w:noProof/>
        </w:rPr>
        <w:t>5</w:t>
      </w:r>
      <w:r w:rsidR="00453042">
        <w:rPr>
          <w:noProof/>
        </w:rPr>
        <w:t xml:space="preserve">, is </w:t>
      </w:r>
      <w:r w:rsidR="00A92ED9">
        <w:rPr>
          <w:noProof/>
        </w:rPr>
        <w:t xml:space="preserve">at </w:t>
      </w:r>
      <w:r w:rsidR="005C0536">
        <w:rPr>
          <w:noProof/>
        </w:rPr>
        <w:t>the</w:t>
      </w:r>
      <w:r w:rsidR="00A92ED9">
        <w:rPr>
          <w:noProof/>
        </w:rPr>
        <w:t xml:space="preserve"> minimum while at the top</w:t>
      </w:r>
      <w:r w:rsidR="009E5FE8">
        <w:rPr>
          <w:noProof/>
        </w:rPr>
        <w:t>, carriege 1,</w:t>
      </w:r>
      <w:r w:rsidR="00453042">
        <w:rPr>
          <w:noProof/>
        </w:rPr>
        <w:t xml:space="preserve"> the potential energy is </w:t>
      </w:r>
      <w:r w:rsidR="00F50804">
        <w:rPr>
          <w:noProof/>
        </w:rPr>
        <w:t>at the maximum.</w:t>
      </w:r>
      <w:r w:rsidR="00BD5B7A">
        <w:rPr>
          <w:noProof/>
        </w:rPr>
        <w:t xml:space="preserve"> Thus, the total energy of a carriege changes </w:t>
      </w:r>
      <w:r w:rsidR="00BC3CF2">
        <w:rPr>
          <w:noProof/>
        </w:rPr>
        <w:t>along the circular path.</w:t>
      </w:r>
    </w:p>
    <w:p w14:paraId="17E21362" w14:textId="5CEE93E6" w:rsidR="001802B6" w:rsidRDefault="001802B6" w:rsidP="001802B6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 wp14:anchorId="47ACC056" wp14:editId="4CA664D9">
            <wp:extent cx="3466335" cy="2201333"/>
            <wp:effectExtent l="0" t="0" r="1270" b="8890"/>
            <wp:docPr id="4" name="Picture 4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rr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247" cy="220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8614E" w14:textId="5B095C90" w:rsidR="00BC3CF2" w:rsidRDefault="00AA472D" w:rsidP="005C0536">
      <w:pPr>
        <w:spacing w:after="120"/>
        <w:jc w:val="both"/>
        <w:rPr>
          <w:noProof/>
        </w:rPr>
      </w:pPr>
      <w:r>
        <w:rPr>
          <w:noProof/>
        </w:rPr>
        <w:lastRenderedPageBreak/>
        <w:t xml:space="preserve">As a final example, consider a ball rolling </w:t>
      </w:r>
      <w:r w:rsidR="00374822">
        <w:rPr>
          <w:noProof/>
        </w:rPr>
        <w:t>down a</w:t>
      </w:r>
      <w:r w:rsidR="003B738D">
        <w:rPr>
          <w:noProof/>
        </w:rPr>
        <w:t xml:space="preserve"> frictionless</w:t>
      </w:r>
      <w:r w:rsidR="00374822">
        <w:rPr>
          <w:noProof/>
        </w:rPr>
        <w:t xml:space="preserve"> inclined surface</w:t>
      </w:r>
      <w:r w:rsidR="004840AA">
        <w:rPr>
          <w:noProof/>
        </w:rPr>
        <w:t>, Figure (C)</w:t>
      </w:r>
      <w:r w:rsidR="00374822">
        <w:rPr>
          <w:noProof/>
        </w:rPr>
        <w:t xml:space="preserve">. The ball initially </w:t>
      </w:r>
      <w:r w:rsidR="00E03AAC">
        <w:rPr>
          <w:noProof/>
        </w:rPr>
        <w:t xml:space="preserve">has a potential energy of </w:t>
      </w:r>
      <m:oMath>
        <m:r>
          <w:rPr>
            <w:rFonts w:ascii="Cambria Math" w:hAnsi="Cambria Math"/>
            <w:noProof/>
          </w:rPr>
          <m:t>mgh</m:t>
        </m:r>
      </m:oMath>
      <w:r w:rsidR="003B738D">
        <w:rPr>
          <w:noProof/>
        </w:rPr>
        <w:t xml:space="preserve"> and as the ball rolls this potential energy is converted into kinetic energy</w:t>
      </w:r>
      <w:r w:rsidR="00E03AAC">
        <w:rPr>
          <w:noProof/>
        </w:rPr>
        <w:t>.</w:t>
      </w:r>
      <w:r>
        <w:rPr>
          <w:noProof/>
        </w:rPr>
        <w:t xml:space="preserve"> </w:t>
      </w:r>
      <w:r w:rsidR="00811FA6">
        <w:rPr>
          <w:noProof/>
        </w:rPr>
        <w:t xml:space="preserve">The ball will move with </w:t>
      </w:r>
      <w:r w:rsidR="0090689E">
        <w:rPr>
          <w:noProof/>
        </w:rPr>
        <w:t xml:space="preserve">both </w:t>
      </w:r>
      <w:r w:rsidR="00811FA6">
        <w:rPr>
          <w:noProof/>
        </w:rPr>
        <w:t>translational kinetic energy</w:t>
      </w:r>
      <w:r w:rsidR="0090689E">
        <w:rPr>
          <w:noProof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2</m:t>
            </m:r>
          </m:den>
        </m:f>
        <m:r>
          <w:rPr>
            <w:rFonts w:ascii="Cambria Math" w:hAnsi="Cambria Math"/>
            <w:noProof/>
          </w:rPr>
          <m:t>m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v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 w:rsidR="0090689E">
        <w:rPr>
          <w:noProof/>
        </w:rPr>
        <w:t xml:space="preserve">, and rotational kinetic energy,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2</m:t>
            </m:r>
          </m:den>
        </m:f>
        <m:r>
          <w:rPr>
            <w:rFonts w:ascii="Cambria Math" w:hAnsi="Cambria Math"/>
            <w:noProof/>
          </w:rPr>
          <m:t>I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ω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 w:rsidR="0090689E">
        <w:rPr>
          <w:noProof/>
        </w:rPr>
        <w:t>.</w:t>
      </w:r>
      <w:r w:rsidR="00556697">
        <w:rPr>
          <w:noProof/>
        </w:rPr>
        <w:t xml:space="preserve"> The</w:t>
      </w:r>
      <w:r w:rsidR="00706849">
        <w:rPr>
          <w:noProof/>
        </w:rPr>
        <w:t>refore, the</w:t>
      </w:r>
      <w:r w:rsidR="00556697">
        <w:rPr>
          <w:noProof/>
        </w:rPr>
        <w:t xml:space="preserve"> total energy of the ball is </w:t>
      </w:r>
      <w:r w:rsidR="00706849">
        <w:rPr>
          <w:noProof/>
        </w:rPr>
        <w:t>equal to the sum of both kinetic term and the potential energy.</w:t>
      </w:r>
    </w:p>
    <w:p w14:paraId="1130F128" w14:textId="0473782A" w:rsidR="006910F5" w:rsidRDefault="00C55BDD" w:rsidP="00886E32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 wp14:anchorId="5CD5A006" wp14:editId="4E0E84EA">
            <wp:extent cx="5139267" cy="1763742"/>
            <wp:effectExtent l="0" t="0" r="444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ll-Pla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722" cy="176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B132E" w14:textId="77777777" w:rsidR="005C0536" w:rsidRDefault="005C0536" w:rsidP="00DD712D">
      <w:pPr>
        <w:spacing w:after="120"/>
        <w:jc w:val="both"/>
        <w:rPr>
          <w:rStyle w:val="IntenseReference"/>
          <w:sz w:val="24"/>
        </w:rPr>
      </w:pPr>
    </w:p>
    <w:p w14:paraId="3DC906F2" w14:textId="18EAD21B" w:rsidR="005C3644" w:rsidRDefault="0091400D" w:rsidP="00DD712D">
      <w:pPr>
        <w:spacing w:after="120"/>
        <w:jc w:val="both"/>
        <w:rPr>
          <w:rStyle w:val="IntenseReference"/>
          <w:sz w:val="24"/>
        </w:rPr>
      </w:pPr>
      <w:r>
        <w:rPr>
          <w:rStyle w:val="IntenseReference"/>
          <w:sz w:val="24"/>
        </w:rPr>
        <w:t>Content – Work</w:t>
      </w:r>
    </w:p>
    <w:tbl>
      <w:tblPr>
        <w:tblStyle w:val="TableGrid"/>
        <w:tblpPr w:leftFromText="180" w:rightFromText="180" w:vertAnchor="text" w:horzAnchor="margin" w:tblpXSpec="right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747C1" w14:paraId="7D283A19" w14:textId="77777777" w:rsidTr="003747C1">
        <w:trPr>
          <w:trHeight w:val="2127"/>
        </w:trPr>
        <w:tc>
          <w:tcPr>
            <w:tcW w:w="4297" w:type="dxa"/>
          </w:tcPr>
          <w:p w14:paraId="01999CFD" w14:textId="32A151AD" w:rsidR="003747C1" w:rsidRPr="00A9791D" w:rsidRDefault="00314A1E" w:rsidP="003747C1">
            <w:pPr>
              <w:spacing w:after="120"/>
              <w:jc w:val="both"/>
              <w:rPr>
                <w:rStyle w:val="IntenseReference"/>
                <w:sz w:val="24"/>
              </w:rPr>
            </w:pPr>
            <w:r>
              <w:rPr>
                <w:b/>
                <w:bCs/>
                <w:smallCaps/>
                <w:noProof/>
                <w:color w:val="5B9BD5" w:themeColor="accent1"/>
                <w:spacing w:val="5"/>
                <w:sz w:val="24"/>
              </w:rPr>
              <w:drawing>
                <wp:inline distT="0" distB="0" distL="0" distR="0" wp14:anchorId="71C7346F" wp14:editId="3A09D212">
                  <wp:extent cx="2738755" cy="1969135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or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75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761F34" w14:textId="1884C6DD" w:rsidR="0091400D" w:rsidRDefault="00885E27" w:rsidP="00DD712D">
      <w:pPr>
        <w:spacing w:after="120"/>
        <w:jc w:val="both"/>
        <w:rPr>
          <w:noProof/>
        </w:rPr>
      </w:pPr>
      <w:r>
        <w:rPr>
          <w:noProof/>
        </w:rPr>
        <w:t xml:space="preserve">Work is defined as </w:t>
      </w:r>
      <w:r w:rsidR="000510DD">
        <w:rPr>
          <w:noProof/>
        </w:rPr>
        <w:t xml:space="preserve">the amount of energy required to move an object from </w:t>
      </w:r>
      <w:r w:rsidR="00065867">
        <w:rPr>
          <w:noProof/>
        </w:rPr>
        <w:t>point A to B by a given applied force</w:t>
      </w:r>
      <w:r w:rsidR="009C7508">
        <w:rPr>
          <w:noProof/>
        </w:rPr>
        <w:t xml:space="preserve"> (i.e. </w:t>
      </w:r>
      <m:oMath>
        <m:r>
          <w:rPr>
            <w:rFonts w:ascii="Cambria Math" w:hAnsi="Cambria Math"/>
            <w:noProof/>
          </w:rPr>
          <m:t>W=F.d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θ</m:t>
            </m:r>
          </m:e>
        </m:func>
      </m:oMath>
      <w:r w:rsidR="009C7508">
        <w:rPr>
          <w:noProof/>
        </w:rPr>
        <w:t>).</w:t>
      </w:r>
      <w:r w:rsidR="00FC5799">
        <w:rPr>
          <w:noProof/>
        </w:rPr>
        <w:t xml:space="preserve"> If the </w:t>
      </w:r>
      <w:r w:rsidR="005E3CFA">
        <w:rPr>
          <w:noProof/>
        </w:rPr>
        <w:t>displacement is zero then the amount of work done is zero</w:t>
      </w:r>
      <w:r w:rsidR="003F657A">
        <w:rPr>
          <w:noProof/>
        </w:rPr>
        <w:t xml:space="preserve"> no matter how much force is applied to the </w:t>
      </w:r>
      <w:r w:rsidR="00AE6549">
        <w:rPr>
          <w:noProof/>
        </w:rPr>
        <w:t>object</w:t>
      </w:r>
      <w:r w:rsidR="005E3CFA">
        <w:rPr>
          <w:noProof/>
        </w:rPr>
        <w:t xml:space="preserve">. </w:t>
      </w:r>
      <w:r w:rsidR="00AB0910">
        <w:rPr>
          <w:noProof/>
        </w:rPr>
        <w:t xml:space="preserve">In </w:t>
      </w:r>
      <w:r w:rsidR="00CD55B8">
        <w:rPr>
          <w:noProof/>
        </w:rPr>
        <w:t xml:space="preserve">uniform circular motion the </w:t>
      </w:r>
      <w:r w:rsidR="00FC77FE">
        <w:rPr>
          <w:noProof/>
        </w:rPr>
        <w:t xml:space="preserve">centripetal force is pointing towards the center and </w:t>
      </w:r>
      <w:r w:rsidR="003959B7">
        <w:rPr>
          <w:noProof/>
        </w:rPr>
        <w:t xml:space="preserve">the displacement is perpendicular to the </w:t>
      </w:r>
      <w:r w:rsidR="007B6E87">
        <w:rPr>
          <w:noProof/>
        </w:rPr>
        <w:t>force.</w:t>
      </w:r>
      <w:r w:rsidR="00D6191F">
        <w:rPr>
          <w:noProof/>
        </w:rPr>
        <w:t xml:space="preserve"> </w:t>
      </w:r>
      <w:r w:rsidR="00795D54">
        <w:rPr>
          <w:noProof/>
        </w:rPr>
        <w:t xml:space="preserve">This means that the </w:t>
      </w:r>
      <w:r w:rsidR="00D6191F">
        <w:rPr>
          <w:noProof/>
        </w:rPr>
        <w:t xml:space="preserve">angle </w:t>
      </w:r>
      <m:oMath>
        <m:r>
          <w:rPr>
            <w:rFonts w:ascii="Cambria Math" w:hAnsi="Cambria Math"/>
            <w:noProof/>
          </w:rPr>
          <m:t>θ</m:t>
        </m:r>
      </m:oMath>
      <w:r w:rsidR="00D6191F">
        <w:rPr>
          <w:noProof/>
        </w:rPr>
        <w:t xml:space="preserve"> is </w:t>
      </w:r>
      <m:oMath>
        <m:r>
          <w:rPr>
            <w:rFonts w:ascii="Cambria Math" w:hAnsi="Cambria Math"/>
            <w:noProof/>
          </w:rPr>
          <m:t>90°</m:t>
        </m:r>
      </m:oMath>
      <w:r w:rsidR="00795D54">
        <w:rPr>
          <w:noProof/>
        </w:rPr>
        <w:t>, thus the amount of work is zero (</w:t>
      </w:r>
      <w:r w:rsidR="00834DAE">
        <w:rPr>
          <w:noProof/>
        </w:rPr>
        <w:t xml:space="preserve">i.e </w:t>
      </w:r>
      <m:oMath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w:rPr>
                <w:rFonts w:ascii="Cambria Math" w:hAnsi="Cambria Math"/>
                <w:noProof/>
              </w:rPr>
              <m:t>90°</m:t>
            </m:r>
          </m:e>
        </m:func>
        <m:r>
          <w:rPr>
            <w:rFonts w:ascii="Cambria Math" w:hAnsi="Cambria Math"/>
            <w:noProof/>
          </w:rPr>
          <m:t>=0→F=0</m:t>
        </m:r>
      </m:oMath>
      <w:r w:rsidR="00795D54">
        <w:rPr>
          <w:noProof/>
        </w:rPr>
        <w:t>)</w:t>
      </w:r>
      <w:r w:rsidR="003371E3">
        <w:rPr>
          <w:noProof/>
        </w:rPr>
        <w:t>.</w:t>
      </w:r>
      <w:r w:rsidR="006B7E4A">
        <w:rPr>
          <w:noProof/>
        </w:rPr>
        <w:t xml:space="preserve"> Alternatively, we can arrive at the same conclusion </w:t>
      </w:r>
      <w:r w:rsidR="00B369D8">
        <w:rPr>
          <w:noProof/>
        </w:rPr>
        <w:t>if we define the work done as the change in kinetic energy (</w:t>
      </w:r>
      <w:r w:rsidR="002A2C15">
        <w:rPr>
          <w:noProof/>
        </w:rPr>
        <w:t xml:space="preserve">i.e. </w:t>
      </w:r>
      <m:oMath>
        <m:r>
          <w:rPr>
            <w:rFonts w:ascii="Cambria Math" w:hAnsi="Cambria Math"/>
            <w:noProof/>
          </w:rPr>
          <m:t>W=∆KE</m:t>
        </m:r>
      </m:oMath>
      <w:r w:rsidR="00B369D8">
        <w:rPr>
          <w:noProof/>
        </w:rPr>
        <w:t>). If the object moves with constant velocity around the circular path the</w:t>
      </w:r>
      <w:r w:rsidR="009059B9">
        <w:rPr>
          <w:noProof/>
        </w:rPr>
        <w:t>n</w:t>
      </w:r>
      <w:r w:rsidR="00B369D8">
        <w:rPr>
          <w:noProof/>
        </w:rPr>
        <w:t xml:space="preserve"> the change in kinetic energy is zero</w:t>
      </w:r>
      <w:r w:rsidR="002A2C15">
        <w:rPr>
          <w:noProof/>
        </w:rPr>
        <w:t>, leading to no work being done.</w:t>
      </w:r>
    </w:p>
    <w:p w14:paraId="17BA63BB" w14:textId="77777777" w:rsidR="001C4E1C" w:rsidRDefault="001C4E1C" w:rsidP="00DD712D">
      <w:pPr>
        <w:spacing w:after="120"/>
        <w:jc w:val="both"/>
        <w:rPr>
          <w:rStyle w:val="IntenseReference"/>
          <w:sz w:val="24"/>
        </w:rPr>
      </w:pPr>
    </w:p>
    <w:sectPr w:rsidR="001C4E1C" w:rsidSect="0060404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5E270" w14:textId="77777777" w:rsidR="00E80379" w:rsidRDefault="00E80379">
      <w:r>
        <w:separator/>
      </w:r>
    </w:p>
  </w:endnote>
  <w:endnote w:type="continuationSeparator" w:id="0">
    <w:p w14:paraId="22B1821A" w14:textId="77777777" w:rsidR="00E80379" w:rsidRDefault="00E8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32AEE8E3" w:rsidR="00A2753D" w:rsidRDefault="00A2753D" w:rsidP="004328C6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 xml:space="preserve">Jeffry </w:t>
    </w:r>
    <w:proofErr w:type="spellStart"/>
    <w:r>
      <w:t>Setiadi</w:t>
    </w:r>
    <w:proofErr w:type="spellEnd"/>
    <w:r>
      <w:t xml:space="preserve"> and Arunima Malik, School of Physics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E114E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0C2D3B1C" w:rsidR="00A2753D" w:rsidRDefault="00A2753D">
    <w:pPr>
      <w:pStyle w:val="Footer"/>
    </w:pPr>
    <w:r>
      <w:t xml:space="preserve">Jeffry </w:t>
    </w:r>
    <w:proofErr w:type="spellStart"/>
    <w:r>
      <w:t>Setiadi</w:t>
    </w:r>
    <w:proofErr w:type="spellEnd"/>
    <w:r>
      <w:t xml:space="preserve"> and Arunima Malik, School of Physics</w:t>
    </w:r>
    <w:r>
      <w:tab/>
    </w: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135DE" w14:textId="77777777" w:rsidR="00E80379" w:rsidRDefault="00E80379">
      <w:r>
        <w:separator/>
      </w:r>
    </w:p>
  </w:footnote>
  <w:footnote w:type="continuationSeparator" w:id="0">
    <w:p w14:paraId="2F8803DB" w14:textId="77777777" w:rsidR="00E80379" w:rsidRDefault="00E8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77777777" w:rsidR="00A2753D" w:rsidRPr="00BE0B4B" w:rsidRDefault="00A2753D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9" name="Picture 9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966588" w14:textId="6652733D" w:rsidR="00AE6549" w:rsidRDefault="00A2753D" w:rsidP="00DA22C4">
    <w:pPr>
      <w:pStyle w:val="HeaderFirstPage"/>
      <w:spacing w:before="240"/>
    </w:pPr>
    <w:r>
      <w:t xml:space="preserve">HSC Physics Module </w:t>
    </w:r>
    <w:r w:rsidR="00AE6549">
      <w:t>5 – Advanced Mechanics</w:t>
    </w:r>
    <w:r>
      <w:br/>
    </w:r>
    <w:r w:rsidR="00AE6549">
      <w:t xml:space="preserve">Circular Motion – Total Energy and Work </w:t>
    </w:r>
  </w:p>
  <w:p w14:paraId="549CEB92" w14:textId="6101BC01" w:rsidR="00A2753D" w:rsidRPr="006357E0" w:rsidRDefault="00A2753D" w:rsidP="00AE6549">
    <w:pPr>
      <w:pStyle w:val="HeaderFirstPage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A2753D" w:rsidRPr="00BE0B4B" w:rsidRDefault="00A2753D" w:rsidP="004328C6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0" name="Picture 10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24768" w14:textId="3607D170" w:rsidR="00A2753D" w:rsidRDefault="00A2753D" w:rsidP="004328C6">
    <w:pPr>
      <w:pStyle w:val="HeaderFirstPage"/>
      <w:spacing w:before="240"/>
    </w:pPr>
    <w:r>
      <w:t xml:space="preserve">HSC Physics Module </w:t>
    </w:r>
    <w:r w:rsidR="00FD041D">
      <w:t>5</w:t>
    </w:r>
    <w:r>
      <w:t xml:space="preserve"> – </w:t>
    </w:r>
    <w:r w:rsidR="00FD041D">
      <w:t>Advanced Mechanics</w:t>
    </w:r>
    <w:r>
      <w:br/>
    </w:r>
    <w:r w:rsidR="00FD041D">
      <w:t>Circular Motion</w:t>
    </w:r>
    <w:r>
      <w:t xml:space="preserve"> – </w:t>
    </w:r>
    <w:r w:rsidR="001F27E4">
      <w:t>Total Energy and Work</w:t>
    </w:r>
  </w:p>
  <w:p w14:paraId="1AFA2964" w14:textId="77777777" w:rsidR="00A2753D" w:rsidRDefault="00A2753D" w:rsidP="004328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CAF"/>
    <w:multiLevelType w:val="hybridMultilevel"/>
    <w:tmpl w:val="384AD924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C75779F"/>
    <w:multiLevelType w:val="hybridMultilevel"/>
    <w:tmpl w:val="9CA4ED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0AEF"/>
    <w:multiLevelType w:val="hybridMultilevel"/>
    <w:tmpl w:val="215650FE"/>
    <w:lvl w:ilvl="0" w:tplc="B30A37F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8B7565"/>
    <w:multiLevelType w:val="hybridMultilevel"/>
    <w:tmpl w:val="E496D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42006"/>
    <w:multiLevelType w:val="hybridMultilevel"/>
    <w:tmpl w:val="73A29994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2650A"/>
    <w:multiLevelType w:val="hybridMultilevel"/>
    <w:tmpl w:val="F3A46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64AEC"/>
    <w:multiLevelType w:val="hybridMultilevel"/>
    <w:tmpl w:val="103648A4"/>
    <w:lvl w:ilvl="0" w:tplc="947CC6B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6C6C4E"/>
    <w:multiLevelType w:val="hybridMultilevel"/>
    <w:tmpl w:val="B5CE2BCC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A17A0"/>
    <w:multiLevelType w:val="hybridMultilevel"/>
    <w:tmpl w:val="7DCA3D90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11090"/>
    <w:multiLevelType w:val="hybridMultilevel"/>
    <w:tmpl w:val="ADD668F6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97892"/>
    <w:multiLevelType w:val="hybridMultilevel"/>
    <w:tmpl w:val="AB02F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2260E"/>
    <w:multiLevelType w:val="hybridMultilevel"/>
    <w:tmpl w:val="DA5EE760"/>
    <w:lvl w:ilvl="0" w:tplc="F852FE9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D53CC"/>
    <w:multiLevelType w:val="hybridMultilevel"/>
    <w:tmpl w:val="1E2E2FA6"/>
    <w:lvl w:ilvl="0" w:tplc="947CC6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E4659"/>
    <w:multiLevelType w:val="hybridMultilevel"/>
    <w:tmpl w:val="067637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A70B5"/>
    <w:multiLevelType w:val="hybridMultilevel"/>
    <w:tmpl w:val="965A6A48"/>
    <w:lvl w:ilvl="0" w:tplc="B8B0EBD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8"/>
  </w:num>
  <w:num w:numId="5">
    <w:abstractNumId w:val="20"/>
  </w:num>
  <w:num w:numId="6">
    <w:abstractNumId w:val="1"/>
  </w:num>
  <w:num w:numId="7">
    <w:abstractNumId w:val="16"/>
  </w:num>
  <w:num w:numId="8">
    <w:abstractNumId w:val="15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17"/>
  </w:num>
  <w:num w:numId="17">
    <w:abstractNumId w:val="22"/>
  </w:num>
  <w:num w:numId="18">
    <w:abstractNumId w:val="0"/>
  </w:num>
  <w:num w:numId="19">
    <w:abstractNumId w:val="11"/>
  </w:num>
  <w:num w:numId="20">
    <w:abstractNumId w:val="24"/>
  </w:num>
  <w:num w:numId="21">
    <w:abstractNumId w:val="3"/>
  </w:num>
  <w:num w:numId="22">
    <w:abstractNumId w:val="19"/>
  </w:num>
  <w:num w:numId="23">
    <w:abstractNumId w:val="4"/>
  </w:num>
  <w:num w:numId="24">
    <w:abstractNumId w:val="23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NqgFABka6zotAAAA"/>
  </w:docVars>
  <w:rsids>
    <w:rsidRoot w:val="00AF51B2"/>
    <w:rsid w:val="00000E7E"/>
    <w:rsid w:val="00004147"/>
    <w:rsid w:val="00004C16"/>
    <w:rsid w:val="00005D0D"/>
    <w:rsid w:val="0001181C"/>
    <w:rsid w:val="000221E9"/>
    <w:rsid w:val="00032BC3"/>
    <w:rsid w:val="000403FB"/>
    <w:rsid w:val="00050AEE"/>
    <w:rsid w:val="000510B2"/>
    <w:rsid w:val="000510DD"/>
    <w:rsid w:val="000526F3"/>
    <w:rsid w:val="00061F00"/>
    <w:rsid w:val="00065867"/>
    <w:rsid w:val="0007125D"/>
    <w:rsid w:val="00072066"/>
    <w:rsid w:val="00072EF2"/>
    <w:rsid w:val="0007530C"/>
    <w:rsid w:val="00080AC9"/>
    <w:rsid w:val="00081F9D"/>
    <w:rsid w:val="000922BC"/>
    <w:rsid w:val="00093AFD"/>
    <w:rsid w:val="00093F68"/>
    <w:rsid w:val="00095349"/>
    <w:rsid w:val="000A02D9"/>
    <w:rsid w:val="000C15A0"/>
    <w:rsid w:val="000C4076"/>
    <w:rsid w:val="000C503B"/>
    <w:rsid w:val="000C506B"/>
    <w:rsid w:val="000C600E"/>
    <w:rsid w:val="000D2960"/>
    <w:rsid w:val="000D4676"/>
    <w:rsid w:val="000D68B3"/>
    <w:rsid w:val="000F23A0"/>
    <w:rsid w:val="000F6B47"/>
    <w:rsid w:val="00103BD4"/>
    <w:rsid w:val="00104A1B"/>
    <w:rsid w:val="00104CB9"/>
    <w:rsid w:val="00122F29"/>
    <w:rsid w:val="0012317B"/>
    <w:rsid w:val="0012317F"/>
    <w:rsid w:val="0013239D"/>
    <w:rsid w:val="00133079"/>
    <w:rsid w:val="00135199"/>
    <w:rsid w:val="00135A72"/>
    <w:rsid w:val="0014130B"/>
    <w:rsid w:val="0014461D"/>
    <w:rsid w:val="00150D01"/>
    <w:rsid w:val="00152A38"/>
    <w:rsid w:val="00157924"/>
    <w:rsid w:val="0016366A"/>
    <w:rsid w:val="001643D5"/>
    <w:rsid w:val="00165692"/>
    <w:rsid w:val="001713BE"/>
    <w:rsid w:val="00173219"/>
    <w:rsid w:val="00174008"/>
    <w:rsid w:val="00180212"/>
    <w:rsid w:val="001802B6"/>
    <w:rsid w:val="00182332"/>
    <w:rsid w:val="00190760"/>
    <w:rsid w:val="00190ABF"/>
    <w:rsid w:val="00193641"/>
    <w:rsid w:val="001A4178"/>
    <w:rsid w:val="001B1513"/>
    <w:rsid w:val="001B1646"/>
    <w:rsid w:val="001B4A83"/>
    <w:rsid w:val="001B6DCD"/>
    <w:rsid w:val="001C0B98"/>
    <w:rsid w:val="001C4E1C"/>
    <w:rsid w:val="001C79CF"/>
    <w:rsid w:val="001D0A2B"/>
    <w:rsid w:val="001D33FC"/>
    <w:rsid w:val="001D3DC4"/>
    <w:rsid w:val="001E06A2"/>
    <w:rsid w:val="001E23A2"/>
    <w:rsid w:val="001E6605"/>
    <w:rsid w:val="001F27E4"/>
    <w:rsid w:val="001F64F1"/>
    <w:rsid w:val="00201A81"/>
    <w:rsid w:val="002026D7"/>
    <w:rsid w:val="00203107"/>
    <w:rsid w:val="00206947"/>
    <w:rsid w:val="00233F21"/>
    <w:rsid w:val="002340D1"/>
    <w:rsid w:val="002422F5"/>
    <w:rsid w:val="00247D68"/>
    <w:rsid w:val="00253889"/>
    <w:rsid w:val="00255549"/>
    <w:rsid w:val="002631BB"/>
    <w:rsid w:val="00266C9C"/>
    <w:rsid w:val="00274263"/>
    <w:rsid w:val="00274C9D"/>
    <w:rsid w:val="002751EC"/>
    <w:rsid w:val="00276454"/>
    <w:rsid w:val="00277341"/>
    <w:rsid w:val="00285BB7"/>
    <w:rsid w:val="002927F6"/>
    <w:rsid w:val="0029373B"/>
    <w:rsid w:val="00294F04"/>
    <w:rsid w:val="00297379"/>
    <w:rsid w:val="002A2C15"/>
    <w:rsid w:val="002A4CA9"/>
    <w:rsid w:val="002C359C"/>
    <w:rsid w:val="002C4F00"/>
    <w:rsid w:val="002D10FB"/>
    <w:rsid w:val="002D7C59"/>
    <w:rsid w:val="002E063D"/>
    <w:rsid w:val="002E16B0"/>
    <w:rsid w:val="002F4E10"/>
    <w:rsid w:val="002F5C9C"/>
    <w:rsid w:val="00302BAC"/>
    <w:rsid w:val="00307E23"/>
    <w:rsid w:val="003117B7"/>
    <w:rsid w:val="00314A1E"/>
    <w:rsid w:val="00317A46"/>
    <w:rsid w:val="00326FA9"/>
    <w:rsid w:val="00331BB9"/>
    <w:rsid w:val="00331EEF"/>
    <w:rsid w:val="00333105"/>
    <w:rsid w:val="003359A9"/>
    <w:rsid w:val="00336688"/>
    <w:rsid w:val="00336AE6"/>
    <w:rsid w:val="003371E3"/>
    <w:rsid w:val="00343C8D"/>
    <w:rsid w:val="00350992"/>
    <w:rsid w:val="0035426C"/>
    <w:rsid w:val="00355636"/>
    <w:rsid w:val="003653D8"/>
    <w:rsid w:val="00371147"/>
    <w:rsid w:val="00373E12"/>
    <w:rsid w:val="003747C1"/>
    <w:rsid w:val="00374822"/>
    <w:rsid w:val="00374A59"/>
    <w:rsid w:val="00381130"/>
    <w:rsid w:val="003838CA"/>
    <w:rsid w:val="003879D1"/>
    <w:rsid w:val="003959B7"/>
    <w:rsid w:val="00396B5C"/>
    <w:rsid w:val="00396D14"/>
    <w:rsid w:val="00397874"/>
    <w:rsid w:val="003A2AA1"/>
    <w:rsid w:val="003A2BA8"/>
    <w:rsid w:val="003B0554"/>
    <w:rsid w:val="003B25E1"/>
    <w:rsid w:val="003B392D"/>
    <w:rsid w:val="003B3C16"/>
    <w:rsid w:val="003B4F13"/>
    <w:rsid w:val="003B738D"/>
    <w:rsid w:val="003C1525"/>
    <w:rsid w:val="003C1C2B"/>
    <w:rsid w:val="003C3230"/>
    <w:rsid w:val="003C400F"/>
    <w:rsid w:val="003D4297"/>
    <w:rsid w:val="003D431B"/>
    <w:rsid w:val="003D49FD"/>
    <w:rsid w:val="003D5AEF"/>
    <w:rsid w:val="003D7DF4"/>
    <w:rsid w:val="003E2EC9"/>
    <w:rsid w:val="003E3A97"/>
    <w:rsid w:val="003E4210"/>
    <w:rsid w:val="003E4C38"/>
    <w:rsid w:val="003E5E8A"/>
    <w:rsid w:val="003E71A4"/>
    <w:rsid w:val="003F204A"/>
    <w:rsid w:val="003F2B34"/>
    <w:rsid w:val="003F4419"/>
    <w:rsid w:val="003F657A"/>
    <w:rsid w:val="00402E79"/>
    <w:rsid w:val="00410A1B"/>
    <w:rsid w:val="00425D26"/>
    <w:rsid w:val="00426E58"/>
    <w:rsid w:val="00432897"/>
    <w:rsid w:val="004328C6"/>
    <w:rsid w:val="00433049"/>
    <w:rsid w:val="00433916"/>
    <w:rsid w:val="00441707"/>
    <w:rsid w:val="00443A7C"/>
    <w:rsid w:val="00447644"/>
    <w:rsid w:val="004505BA"/>
    <w:rsid w:val="004523F6"/>
    <w:rsid w:val="00453042"/>
    <w:rsid w:val="00455C00"/>
    <w:rsid w:val="00462814"/>
    <w:rsid w:val="004669C1"/>
    <w:rsid w:val="00467DD4"/>
    <w:rsid w:val="00470603"/>
    <w:rsid w:val="004718AE"/>
    <w:rsid w:val="00471EE4"/>
    <w:rsid w:val="00471F2E"/>
    <w:rsid w:val="004766A0"/>
    <w:rsid w:val="004823FF"/>
    <w:rsid w:val="004840AA"/>
    <w:rsid w:val="00485070"/>
    <w:rsid w:val="004910A4"/>
    <w:rsid w:val="004A1B46"/>
    <w:rsid w:val="004A324D"/>
    <w:rsid w:val="004A3F50"/>
    <w:rsid w:val="004A61A3"/>
    <w:rsid w:val="004B159A"/>
    <w:rsid w:val="004B6791"/>
    <w:rsid w:val="004C26D8"/>
    <w:rsid w:val="004C2FA2"/>
    <w:rsid w:val="004C77A2"/>
    <w:rsid w:val="004D5F1B"/>
    <w:rsid w:val="004E04C7"/>
    <w:rsid w:val="004E2773"/>
    <w:rsid w:val="004E2C4B"/>
    <w:rsid w:val="004E2EE7"/>
    <w:rsid w:val="004E3460"/>
    <w:rsid w:val="004E3B72"/>
    <w:rsid w:val="004E3CE4"/>
    <w:rsid w:val="004E3D70"/>
    <w:rsid w:val="004E6F7D"/>
    <w:rsid w:val="004F0D70"/>
    <w:rsid w:val="004F1FA3"/>
    <w:rsid w:val="004F2E49"/>
    <w:rsid w:val="004F7561"/>
    <w:rsid w:val="00500618"/>
    <w:rsid w:val="00500819"/>
    <w:rsid w:val="00506730"/>
    <w:rsid w:val="0051388C"/>
    <w:rsid w:val="00513C23"/>
    <w:rsid w:val="00514F00"/>
    <w:rsid w:val="00515B99"/>
    <w:rsid w:val="005171C7"/>
    <w:rsid w:val="005177F9"/>
    <w:rsid w:val="00517CED"/>
    <w:rsid w:val="00517DCA"/>
    <w:rsid w:val="0052297A"/>
    <w:rsid w:val="005241E6"/>
    <w:rsid w:val="0052584C"/>
    <w:rsid w:val="00527265"/>
    <w:rsid w:val="00533D98"/>
    <w:rsid w:val="0053432B"/>
    <w:rsid w:val="00535346"/>
    <w:rsid w:val="00540528"/>
    <w:rsid w:val="00542665"/>
    <w:rsid w:val="00546C7E"/>
    <w:rsid w:val="00547911"/>
    <w:rsid w:val="00555298"/>
    <w:rsid w:val="00556697"/>
    <w:rsid w:val="0055712F"/>
    <w:rsid w:val="005576E0"/>
    <w:rsid w:val="0056055D"/>
    <w:rsid w:val="00560D81"/>
    <w:rsid w:val="005649F2"/>
    <w:rsid w:val="00565461"/>
    <w:rsid w:val="00566177"/>
    <w:rsid w:val="00567CCB"/>
    <w:rsid w:val="00571C7E"/>
    <w:rsid w:val="00572694"/>
    <w:rsid w:val="0057447F"/>
    <w:rsid w:val="00577DAA"/>
    <w:rsid w:val="00581FC2"/>
    <w:rsid w:val="00582CC8"/>
    <w:rsid w:val="00583DD9"/>
    <w:rsid w:val="00585B54"/>
    <w:rsid w:val="005860B5"/>
    <w:rsid w:val="00590E71"/>
    <w:rsid w:val="00592771"/>
    <w:rsid w:val="00592F0D"/>
    <w:rsid w:val="0059307C"/>
    <w:rsid w:val="00593EA6"/>
    <w:rsid w:val="0059446D"/>
    <w:rsid w:val="0059665F"/>
    <w:rsid w:val="005A3604"/>
    <w:rsid w:val="005A5117"/>
    <w:rsid w:val="005B02FA"/>
    <w:rsid w:val="005B2966"/>
    <w:rsid w:val="005B3440"/>
    <w:rsid w:val="005B44CF"/>
    <w:rsid w:val="005B4CED"/>
    <w:rsid w:val="005C0536"/>
    <w:rsid w:val="005C1A22"/>
    <w:rsid w:val="005C298A"/>
    <w:rsid w:val="005C3644"/>
    <w:rsid w:val="005C3E3C"/>
    <w:rsid w:val="005C5740"/>
    <w:rsid w:val="005C7177"/>
    <w:rsid w:val="005D23A6"/>
    <w:rsid w:val="005D24D4"/>
    <w:rsid w:val="005D27F5"/>
    <w:rsid w:val="005D2AA1"/>
    <w:rsid w:val="005D3814"/>
    <w:rsid w:val="005D7EF0"/>
    <w:rsid w:val="005E3CFA"/>
    <w:rsid w:val="005E47A4"/>
    <w:rsid w:val="005E5F81"/>
    <w:rsid w:val="005F11FF"/>
    <w:rsid w:val="005F14BC"/>
    <w:rsid w:val="005F6300"/>
    <w:rsid w:val="005F6A0A"/>
    <w:rsid w:val="0060404C"/>
    <w:rsid w:val="00606B6A"/>
    <w:rsid w:val="00610958"/>
    <w:rsid w:val="00611686"/>
    <w:rsid w:val="00613ADB"/>
    <w:rsid w:val="00613D34"/>
    <w:rsid w:val="00614FC1"/>
    <w:rsid w:val="00622B6D"/>
    <w:rsid w:val="006259C3"/>
    <w:rsid w:val="00626A14"/>
    <w:rsid w:val="006303F1"/>
    <w:rsid w:val="006306BF"/>
    <w:rsid w:val="006334B6"/>
    <w:rsid w:val="00640192"/>
    <w:rsid w:val="00640319"/>
    <w:rsid w:val="00644DB1"/>
    <w:rsid w:val="006464A1"/>
    <w:rsid w:val="00647083"/>
    <w:rsid w:val="00647BB6"/>
    <w:rsid w:val="00651928"/>
    <w:rsid w:val="00655659"/>
    <w:rsid w:val="006668B0"/>
    <w:rsid w:val="00672F52"/>
    <w:rsid w:val="0067334F"/>
    <w:rsid w:val="00673641"/>
    <w:rsid w:val="00673C95"/>
    <w:rsid w:val="00677ED6"/>
    <w:rsid w:val="0068020D"/>
    <w:rsid w:val="006863F7"/>
    <w:rsid w:val="00686691"/>
    <w:rsid w:val="00687EFA"/>
    <w:rsid w:val="006910F5"/>
    <w:rsid w:val="0069303F"/>
    <w:rsid w:val="006976F1"/>
    <w:rsid w:val="006A0449"/>
    <w:rsid w:val="006A4792"/>
    <w:rsid w:val="006A5DC2"/>
    <w:rsid w:val="006B0910"/>
    <w:rsid w:val="006B1D0C"/>
    <w:rsid w:val="006B332B"/>
    <w:rsid w:val="006B7E4A"/>
    <w:rsid w:val="006C2E46"/>
    <w:rsid w:val="006D3062"/>
    <w:rsid w:val="006D7E04"/>
    <w:rsid w:val="006E0671"/>
    <w:rsid w:val="006E69E7"/>
    <w:rsid w:val="006F01FD"/>
    <w:rsid w:val="006F15B6"/>
    <w:rsid w:val="006F1C2B"/>
    <w:rsid w:val="006F316F"/>
    <w:rsid w:val="006F512A"/>
    <w:rsid w:val="006F6F7D"/>
    <w:rsid w:val="007037CA"/>
    <w:rsid w:val="00706849"/>
    <w:rsid w:val="00712463"/>
    <w:rsid w:val="0071669C"/>
    <w:rsid w:val="007211C8"/>
    <w:rsid w:val="007254A2"/>
    <w:rsid w:val="00726809"/>
    <w:rsid w:val="0074099B"/>
    <w:rsid w:val="007441DA"/>
    <w:rsid w:val="00744E87"/>
    <w:rsid w:val="0074581F"/>
    <w:rsid w:val="007459F5"/>
    <w:rsid w:val="0075475F"/>
    <w:rsid w:val="00760E62"/>
    <w:rsid w:val="007625F5"/>
    <w:rsid w:val="00766FCB"/>
    <w:rsid w:val="00770D8D"/>
    <w:rsid w:val="007710ED"/>
    <w:rsid w:val="007732EF"/>
    <w:rsid w:val="00773318"/>
    <w:rsid w:val="00774B18"/>
    <w:rsid w:val="0078121F"/>
    <w:rsid w:val="00784C1D"/>
    <w:rsid w:val="00790E45"/>
    <w:rsid w:val="00795D54"/>
    <w:rsid w:val="00796D5B"/>
    <w:rsid w:val="007A3FC9"/>
    <w:rsid w:val="007A7CC5"/>
    <w:rsid w:val="007B000A"/>
    <w:rsid w:val="007B6E87"/>
    <w:rsid w:val="007C0EBB"/>
    <w:rsid w:val="007C0F5C"/>
    <w:rsid w:val="007C3041"/>
    <w:rsid w:val="007C40A2"/>
    <w:rsid w:val="007C592C"/>
    <w:rsid w:val="007C757A"/>
    <w:rsid w:val="007D0953"/>
    <w:rsid w:val="007D4767"/>
    <w:rsid w:val="007E114E"/>
    <w:rsid w:val="007F0EC8"/>
    <w:rsid w:val="007F26AA"/>
    <w:rsid w:val="007F3222"/>
    <w:rsid w:val="007F4E8D"/>
    <w:rsid w:val="008002EF"/>
    <w:rsid w:val="00802235"/>
    <w:rsid w:val="00804C09"/>
    <w:rsid w:val="00811FA6"/>
    <w:rsid w:val="008126F9"/>
    <w:rsid w:val="00820671"/>
    <w:rsid w:val="008223C3"/>
    <w:rsid w:val="00823AC8"/>
    <w:rsid w:val="00831CF9"/>
    <w:rsid w:val="00834DAE"/>
    <w:rsid w:val="00840287"/>
    <w:rsid w:val="00842B10"/>
    <w:rsid w:val="008441FF"/>
    <w:rsid w:val="008505A8"/>
    <w:rsid w:val="00852B47"/>
    <w:rsid w:val="008558A8"/>
    <w:rsid w:val="0085686E"/>
    <w:rsid w:val="00866887"/>
    <w:rsid w:val="00870153"/>
    <w:rsid w:val="008737ED"/>
    <w:rsid w:val="00873B57"/>
    <w:rsid w:val="008756BF"/>
    <w:rsid w:val="00876F56"/>
    <w:rsid w:val="00880F4C"/>
    <w:rsid w:val="0088596E"/>
    <w:rsid w:val="00885E27"/>
    <w:rsid w:val="00886E32"/>
    <w:rsid w:val="0089033F"/>
    <w:rsid w:val="0089202D"/>
    <w:rsid w:val="0089615F"/>
    <w:rsid w:val="008974E9"/>
    <w:rsid w:val="008A33B5"/>
    <w:rsid w:val="008A6ACC"/>
    <w:rsid w:val="008B30D7"/>
    <w:rsid w:val="008B78C7"/>
    <w:rsid w:val="008C109D"/>
    <w:rsid w:val="008E27AF"/>
    <w:rsid w:val="008F2306"/>
    <w:rsid w:val="008F5778"/>
    <w:rsid w:val="00903369"/>
    <w:rsid w:val="009059B9"/>
    <w:rsid w:val="0090689E"/>
    <w:rsid w:val="00910144"/>
    <w:rsid w:val="009124FB"/>
    <w:rsid w:val="00912ADE"/>
    <w:rsid w:val="0091400D"/>
    <w:rsid w:val="00914E76"/>
    <w:rsid w:val="0091516B"/>
    <w:rsid w:val="00917AF7"/>
    <w:rsid w:val="0092111E"/>
    <w:rsid w:val="00925913"/>
    <w:rsid w:val="0092664E"/>
    <w:rsid w:val="00930C2F"/>
    <w:rsid w:val="00932636"/>
    <w:rsid w:val="009328A3"/>
    <w:rsid w:val="00932FC6"/>
    <w:rsid w:val="009346FB"/>
    <w:rsid w:val="00936B2B"/>
    <w:rsid w:val="00942406"/>
    <w:rsid w:val="00943219"/>
    <w:rsid w:val="00950FEA"/>
    <w:rsid w:val="00952DBB"/>
    <w:rsid w:val="00962BA5"/>
    <w:rsid w:val="0096418E"/>
    <w:rsid w:val="00965679"/>
    <w:rsid w:val="009658CA"/>
    <w:rsid w:val="00967B6D"/>
    <w:rsid w:val="00970DE4"/>
    <w:rsid w:val="00973345"/>
    <w:rsid w:val="0097617F"/>
    <w:rsid w:val="00982CDB"/>
    <w:rsid w:val="009835AE"/>
    <w:rsid w:val="009860BE"/>
    <w:rsid w:val="00995E23"/>
    <w:rsid w:val="009A0640"/>
    <w:rsid w:val="009A1867"/>
    <w:rsid w:val="009A25ED"/>
    <w:rsid w:val="009A329E"/>
    <w:rsid w:val="009A6E36"/>
    <w:rsid w:val="009A7480"/>
    <w:rsid w:val="009B1BB8"/>
    <w:rsid w:val="009B2D08"/>
    <w:rsid w:val="009B2D18"/>
    <w:rsid w:val="009B39EF"/>
    <w:rsid w:val="009B459C"/>
    <w:rsid w:val="009C2FC9"/>
    <w:rsid w:val="009C7508"/>
    <w:rsid w:val="009C7DA9"/>
    <w:rsid w:val="009D52B9"/>
    <w:rsid w:val="009D55E7"/>
    <w:rsid w:val="009E1016"/>
    <w:rsid w:val="009E2B63"/>
    <w:rsid w:val="009E5390"/>
    <w:rsid w:val="009E5FE8"/>
    <w:rsid w:val="009F12DD"/>
    <w:rsid w:val="009F4ECD"/>
    <w:rsid w:val="009F5EB7"/>
    <w:rsid w:val="009F630A"/>
    <w:rsid w:val="00A00D39"/>
    <w:rsid w:val="00A07528"/>
    <w:rsid w:val="00A2203E"/>
    <w:rsid w:val="00A22608"/>
    <w:rsid w:val="00A2265A"/>
    <w:rsid w:val="00A22D4C"/>
    <w:rsid w:val="00A26C07"/>
    <w:rsid w:val="00A2753D"/>
    <w:rsid w:val="00A32ACA"/>
    <w:rsid w:val="00A40915"/>
    <w:rsid w:val="00A421C4"/>
    <w:rsid w:val="00A4311B"/>
    <w:rsid w:val="00A43450"/>
    <w:rsid w:val="00A44E03"/>
    <w:rsid w:val="00A45140"/>
    <w:rsid w:val="00A45C43"/>
    <w:rsid w:val="00A46D11"/>
    <w:rsid w:val="00A52DA7"/>
    <w:rsid w:val="00A536B8"/>
    <w:rsid w:val="00A55A1A"/>
    <w:rsid w:val="00A575D6"/>
    <w:rsid w:val="00A60487"/>
    <w:rsid w:val="00A64777"/>
    <w:rsid w:val="00A6756C"/>
    <w:rsid w:val="00A7606A"/>
    <w:rsid w:val="00A76BDD"/>
    <w:rsid w:val="00A775FC"/>
    <w:rsid w:val="00A81E6A"/>
    <w:rsid w:val="00A83606"/>
    <w:rsid w:val="00A83706"/>
    <w:rsid w:val="00A91574"/>
    <w:rsid w:val="00A92ED9"/>
    <w:rsid w:val="00A9791D"/>
    <w:rsid w:val="00AA1514"/>
    <w:rsid w:val="00AA2524"/>
    <w:rsid w:val="00AA3D96"/>
    <w:rsid w:val="00AA4242"/>
    <w:rsid w:val="00AA4661"/>
    <w:rsid w:val="00AA472D"/>
    <w:rsid w:val="00AA6870"/>
    <w:rsid w:val="00AA68F7"/>
    <w:rsid w:val="00AA7E08"/>
    <w:rsid w:val="00AB0910"/>
    <w:rsid w:val="00AB13F6"/>
    <w:rsid w:val="00AB1DF7"/>
    <w:rsid w:val="00AB4CF7"/>
    <w:rsid w:val="00AB5240"/>
    <w:rsid w:val="00AB62E5"/>
    <w:rsid w:val="00AB6895"/>
    <w:rsid w:val="00AC0FF2"/>
    <w:rsid w:val="00AC2037"/>
    <w:rsid w:val="00AD251E"/>
    <w:rsid w:val="00AD34FC"/>
    <w:rsid w:val="00AE028E"/>
    <w:rsid w:val="00AE19D4"/>
    <w:rsid w:val="00AE24CB"/>
    <w:rsid w:val="00AE4FE2"/>
    <w:rsid w:val="00AE6549"/>
    <w:rsid w:val="00AE7C1D"/>
    <w:rsid w:val="00AF22FF"/>
    <w:rsid w:val="00AF51B2"/>
    <w:rsid w:val="00AF6EC1"/>
    <w:rsid w:val="00B00528"/>
    <w:rsid w:val="00B01B7E"/>
    <w:rsid w:val="00B02096"/>
    <w:rsid w:val="00B021A8"/>
    <w:rsid w:val="00B02791"/>
    <w:rsid w:val="00B1059C"/>
    <w:rsid w:val="00B11032"/>
    <w:rsid w:val="00B13218"/>
    <w:rsid w:val="00B203D8"/>
    <w:rsid w:val="00B259DE"/>
    <w:rsid w:val="00B278FB"/>
    <w:rsid w:val="00B31A7A"/>
    <w:rsid w:val="00B32895"/>
    <w:rsid w:val="00B342F8"/>
    <w:rsid w:val="00B369D8"/>
    <w:rsid w:val="00B36BDF"/>
    <w:rsid w:val="00B466D9"/>
    <w:rsid w:val="00B469AC"/>
    <w:rsid w:val="00B46DE2"/>
    <w:rsid w:val="00B52D3E"/>
    <w:rsid w:val="00B53282"/>
    <w:rsid w:val="00B55797"/>
    <w:rsid w:val="00B6160A"/>
    <w:rsid w:val="00B63AF8"/>
    <w:rsid w:val="00B6581B"/>
    <w:rsid w:val="00B65ED9"/>
    <w:rsid w:val="00B67AB3"/>
    <w:rsid w:val="00B71EE9"/>
    <w:rsid w:val="00B738FD"/>
    <w:rsid w:val="00B77498"/>
    <w:rsid w:val="00B82B79"/>
    <w:rsid w:val="00B84E8C"/>
    <w:rsid w:val="00B86E52"/>
    <w:rsid w:val="00B9428D"/>
    <w:rsid w:val="00B94395"/>
    <w:rsid w:val="00B94CAE"/>
    <w:rsid w:val="00B96EB4"/>
    <w:rsid w:val="00B9729F"/>
    <w:rsid w:val="00B97DB9"/>
    <w:rsid w:val="00BA2B34"/>
    <w:rsid w:val="00BA7D7F"/>
    <w:rsid w:val="00BB1888"/>
    <w:rsid w:val="00BB3695"/>
    <w:rsid w:val="00BB44AE"/>
    <w:rsid w:val="00BB6A8D"/>
    <w:rsid w:val="00BB7B01"/>
    <w:rsid w:val="00BC0046"/>
    <w:rsid w:val="00BC3CF2"/>
    <w:rsid w:val="00BC3D15"/>
    <w:rsid w:val="00BD459B"/>
    <w:rsid w:val="00BD5B7A"/>
    <w:rsid w:val="00BD5BCA"/>
    <w:rsid w:val="00BE0CEC"/>
    <w:rsid w:val="00BE162A"/>
    <w:rsid w:val="00BE2E0D"/>
    <w:rsid w:val="00BE7812"/>
    <w:rsid w:val="00BF15BE"/>
    <w:rsid w:val="00C01AA1"/>
    <w:rsid w:val="00C13998"/>
    <w:rsid w:val="00C35BC8"/>
    <w:rsid w:val="00C42F76"/>
    <w:rsid w:val="00C43445"/>
    <w:rsid w:val="00C45563"/>
    <w:rsid w:val="00C50C82"/>
    <w:rsid w:val="00C51A0B"/>
    <w:rsid w:val="00C55BDD"/>
    <w:rsid w:val="00C62DA1"/>
    <w:rsid w:val="00C64AE7"/>
    <w:rsid w:val="00C72113"/>
    <w:rsid w:val="00C735F8"/>
    <w:rsid w:val="00C808A1"/>
    <w:rsid w:val="00C941CC"/>
    <w:rsid w:val="00C952F8"/>
    <w:rsid w:val="00C9661D"/>
    <w:rsid w:val="00CA2AF7"/>
    <w:rsid w:val="00CA467B"/>
    <w:rsid w:val="00CA56DE"/>
    <w:rsid w:val="00CA6204"/>
    <w:rsid w:val="00CB1550"/>
    <w:rsid w:val="00CB6BE8"/>
    <w:rsid w:val="00CB7CC0"/>
    <w:rsid w:val="00CB7F84"/>
    <w:rsid w:val="00CC5040"/>
    <w:rsid w:val="00CD0302"/>
    <w:rsid w:val="00CD2F86"/>
    <w:rsid w:val="00CD407E"/>
    <w:rsid w:val="00CD55B8"/>
    <w:rsid w:val="00CE21EB"/>
    <w:rsid w:val="00CE361C"/>
    <w:rsid w:val="00CE5D1C"/>
    <w:rsid w:val="00CF2438"/>
    <w:rsid w:val="00CF7E75"/>
    <w:rsid w:val="00D01E5F"/>
    <w:rsid w:val="00D0417C"/>
    <w:rsid w:val="00D076BE"/>
    <w:rsid w:val="00D1015A"/>
    <w:rsid w:val="00D165A6"/>
    <w:rsid w:val="00D2187D"/>
    <w:rsid w:val="00D47A7D"/>
    <w:rsid w:val="00D509FD"/>
    <w:rsid w:val="00D54986"/>
    <w:rsid w:val="00D6191F"/>
    <w:rsid w:val="00D6266E"/>
    <w:rsid w:val="00D636E9"/>
    <w:rsid w:val="00D64206"/>
    <w:rsid w:val="00D74D30"/>
    <w:rsid w:val="00D77BB7"/>
    <w:rsid w:val="00D81989"/>
    <w:rsid w:val="00D847B7"/>
    <w:rsid w:val="00D8738C"/>
    <w:rsid w:val="00D9216B"/>
    <w:rsid w:val="00D95647"/>
    <w:rsid w:val="00D967F5"/>
    <w:rsid w:val="00DA158C"/>
    <w:rsid w:val="00DA22C4"/>
    <w:rsid w:val="00DB29C8"/>
    <w:rsid w:val="00DB7EB9"/>
    <w:rsid w:val="00DC0C8F"/>
    <w:rsid w:val="00DC211B"/>
    <w:rsid w:val="00DD00CB"/>
    <w:rsid w:val="00DD19BA"/>
    <w:rsid w:val="00DD3505"/>
    <w:rsid w:val="00DD712D"/>
    <w:rsid w:val="00DE3DB3"/>
    <w:rsid w:val="00E03AAC"/>
    <w:rsid w:val="00E03FFA"/>
    <w:rsid w:val="00E04DC9"/>
    <w:rsid w:val="00E060AF"/>
    <w:rsid w:val="00E065C4"/>
    <w:rsid w:val="00E06F97"/>
    <w:rsid w:val="00E115E2"/>
    <w:rsid w:val="00E16602"/>
    <w:rsid w:val="00E16621"/>
    <w:rsid w:val="00E1670A"/>
    <w:rsid w:val="00E170E2"/>
    <w:rsid w:val="00E25C04"/>
    <w:rsid w:val="00E27894"/>
    <w:rsid w:val="00E27FD6"/>
    <w:rsid w:val="00E33F12"/>
    <w:rsid w:val="00E359E7"/>
    <w:rsid w:val="00E41095"/>
    <w:rsid w:val="00E42287"/>
    <w:rsid w:val="00E44637"/>
    <w:rsid w:val="00E45E13"/>
    <w:rsid w:val="00E6249A"/>
    <w:rsid w:val="00E66389"/>
    <w:rsid w:val="00E66794"/>
    <w:rsid w:val="00E668FE"/>
    <w:rsid w:val="00E72B1B"/>
    <w:rsid w:val="00E7733A"/>
    <w:rsid w:val="00E80379"/>
    <w:rsid w:val="00E86662"/>
    <w:rsid w:val="00E9289D"/>
    <w:rsid w:val="00E92F1F"/>
    <w:rsid w:val="00E95CDD"/>
    <w:rsid w:val="00E96CB9"/>
    <w:rsid w:val="00EA28DA"/>
    <w:rsid w:val="00EA4488"/>
    <w:rsid w:val="00EA7809"/>
    <w:rsid w:val="00EB0E58"/>
    <w:rsid w:val="00EB7DE8"/>
    <w:rsid w:val="00EC0916"/>
    <w:rsid w:val="00EC2FFF"/>
    <w:rsid w:val="00EC447A"/>
    <w:rsid w:val="00ED4B73"/>
    <w:rsid w:val="00ED681D"/>
    <w:rsid w:val="00EE2130"/>
    <w:rsid w:val="00EE3BA9"/>
    <w:rsid w:val="00EE6313"/>
    <w:rsid w:val="00EF098D"/>
    <w:rsid w:val="00EF282B"/>
    <w:rsid w:val="00F0488D"/>
    <w:rsid w:val="00F07A8A"/>
    <w:rsid w:val="00F1090E"/>
    <w:rsid w:val="00F11A43"/>
    <w:rsid w:val="00F12009"/>
    <w:rsid w:val="00F12BB7"/>
    <w:rsid w:val="00F130AF"/>
    <w:rsid w:val="00F13E2A"/>
    <w:rsid w:val="00F16BD5"/>
    <w:rsid w:val="00F2483D"/>
    <w:rsid w:val="00F32240"/>
    <w:rsid w:val="00F400B3"/>
    <w:rsid w:val="00F40913"/>
    <w:rsid w:val="00F44187"/>
    <w:rsid w:val="00F44449"/>
    <w:rsid w:val="00F50804"/>
    <w:rsid w:val="00F53131"/>
    <w:rsid w:val="00F6136A"/>
    <w:rsid w:val="00F6464B"/>
    <w:rsid w:val="00F6543B"/>
    <w:rsid w:val="00F6656A"/>
    <w:rsid w:val="00F67727"/>
    <w:rsid w:val="00F71D9E"/>
    <w:rsid w:val="00F76E4E"/>
    <w:rsid w:val="00F80E86"/>
    <w:rsid w:val="00F81D39"/>
    <w:rsid w:val="00F85675"/>
    <w:rsid w:val="00F928C9"/>
    <w:rsid w:val="00F9528E"/>
    <w:rsid w:val="00F95F69"/>
    <w:rsid w:val="00FA54C9"/>
    <w:rsid w:val="00FB328A"/>
    <w:rsid w:val="00FB5547"/>
    <w:rsid w:val="00FB6BFC"/>
    <w:rsid w:val="00FB6E67"/>
    <w:rsid w:val="00FB7DD0"/>
    <w:rsid w:val="00FC02F2"/>
    <w:rsid w:val="00FC0EFC"/>
    <w:rsid w:val="00FC517C"/>
    <w:rsid w:val="00FC5799"/>
    <w:rsid w:val="00FC77FE"/>
    <w:rsid w:val="00FD041D"/>
    <w:rsid w:val="00FD2730"/>
    <w:rsid w:val="00FD3DA4"/>
    <w:rsid w:val="00FD48A9"/>
    <w:rsid w:val="00FD65F4"/>
    <w:rsid w:val="00FE0187"/>
    <w:rsid w:val="00FE1D09"/>
    <w:rsid w:val="00FE6630"/>
    <w:rsid w:val="00FF0353"/>
    <w:rsid w:val="00FF2261"/>
    <w:rsid w:val="00FF462B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CA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59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character" w:customStyle="1" w:styleId="tgc">
    <w:name w:val="_tgc"/>
    <w:basedOn w:val="DefaultParagraphFont"/>
    <w:rsid w:val="001C79CF"/>
  </w:style>
  <w:style w:type="character" w:customStyle="1" w:styleId="Heading2Char">
    <w:name w:val="Heading 2 Char"/>
    <w:basedOn w:val="DefaultParagraphFont"/>
    <w:link w:val="Heading2"/>
    <w:uiPriority w:val="9"/>
    <w:rsid w:val="001413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NoSpacing">
    <w:name w:val="No Spacing"/>
    <w:uiPriority w:val="1"/>
    <w:qFormat/>
    <w:rsid w:val="00A07528"/>
    <w:rPr>
      <w:rFonts w:ascii="Arial" w:eastAsia="Times New Roman" w:hAnsi="Arial" w:cs="Times New Roman"/>
      <w:sz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3D"/>
    <w:rPr>
      <w:rFonts w:ascii="Segoe UI" w:eastAsia="Times New Roman" w:hAnsi="Segoe UI" w:cs="Segoe UI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B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54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54"/>
    <w:rPr>
      <w:rFonts w:ascii="Arial" w:eastAsia="Times New Roman" w:hAnsi="Arial" w:cs="Times New Roman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FFD35-4081-594A-9488-635A0DB1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Vicky Tzioumis</cp:lastModifiedBy>
  <cp:revision>2</cp:revision>
  <cp:lastPrinted>2017-08-13T23:38:00Z</cp:lastPrinted>
  <dcterms:created xsi:type="dcterms:W3CDTF">2018-12-13T03:17:00Z</dcterms:created>
  <dcterms:modified xsi:type="dcterms:W3CDTF">2018-12-13T03:17:00Z</dcterms:modified>
</cp:coreProperties>
</file>