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EDF2" w14:textId="77777777" w:rsidR="00650879" w:rsidRPr="00503EF5" w:rsidRDefault="00650879" w:rsidP="00650879">
      <w:pPr>
        <w:pStyle w:val="Heading1"/>
        <w:jc w:val="center"/>
      </w:pPr>
      <w:r>
        <w:rPr>
          <w:b w:val="0"/>
          <w:bCs w:val="0"/>
          <w:caps w:val="0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BF7097B" wp14:editId="4F33A1E7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C6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" strokeweight="1.25pt"/>
            </w:pict>
          </mc:Fallback>
        </mc:AlternateContent>
      </w:r>
      <w:r>
        <w:rPr>
          <w:sz w:val="32"/>
        </w:rPr>
        <w:t xml:space="preserve">quantised energy levels </w:t>
      </w:r>
    </w:p>
    <w:p w14:paraId="1B3C1749" w14:textId="77777777" w:rsidR="00650879" w:rsidRPr="00650879" w:rsidRDefault="00650879" w:rsidP="00650879">
      <w:pPr>
        <w:rPr>
          <w:rStyle w:val="IntenseReference"/>
          <w:rFonts w:ascii="Arial" w:hAnsi="Arial" w:cs="Arial"/>
          <w:sz w:val="24"/>
        </w:rPr>
      </w:pPr>
      <w:r w:rsidRPr="00650879">
        <w:rPr>
          <w:rStyle w:val="IntenseReference"/>
          <w:rFonts w:ascii="Arial" w:hAnsi="Arial" w:cs="Arial"/>
          <w:sz w:val="24"/>
        </w:rPr>
        <w:t>Content</w:t>
      </w:r>
    </w:p>
    <w:p w14:paraId="6B56121A" w14:textId="77777777" w:rsidR="00741FC3" w:rsidRPr="00741FC3" w:rsidRDefault="00741FC3" w:rsidP="0025571D">
      <w:pPr>
        <w:jc w:val="both"/>
        <w:rPr>
          <w:rFonts w:ascii="Arial" w:hAnsi="Arial" w:cs="Arial"/>
        </w:rPr>
      </w:pPr>
      <w:r w:rsidRPr="00741FC3">
        <w:rPr>
          <w:rFonts w:ascii="Arial" w:hAnsi="Arial" w:cs="Arial"/>
        </w:rPr>
        <w:t>The Balmer series refers to a series of visible spectral lines that are observed when hydrogen gas is excited. These lines are shown in Figure 1 (upper). The four most prominent lines occur a</w:t>
      </w:r>
      <w:r w:rsidR="00C31A1E">
        <w:rPr>
          <w:rFonts w:ascii="Arial" w:hAnsi="Arial" w:cs="Arial"/>
        </w:rPr>
        <w:t>t</w:t>
      </w:r>
      <w:r w:rsidRPr="00741FC3">
        <w:rPr>
          <w:rFonts w:ascii="Arial" w:hAnsi="Arial" w:cs="Arial"/>
        </w:rPr>
        <w:t xml:space="preserve"> wavelengths of 410 nm, 434 nm, 486 nm, and 656 nm. The combination of these spectral lines is responsible for the familiar pinkish/purplish glow that we associate with hydrogen discharges</w:t>
      </w:r>
      <w:r w:rsidR="00C31A1E">
        <w:rPr>
          <w:rFonts w:ascii="Arial" w:hAnsi="Arial" w:cs="Arial"/>
        </w:rPr>
        <w:t xml:space="preserve"> and gas</w:t>
      </w:r>
      <w:r w:rsidR="00D2799E">
        <w:rPr>
          <w:rFonts w:ascii="Arial" w:hAnsi="Arial" w:cs="Arial"/>
        </w:rPr>
        <w:t xml:space="preserve">eous </w:t>
      </w:r>
      <w:r w:rsidR="00C31A1E">
        <w:rPr>
          <w:rFonts w:ascii="Arial" w:hAnsi="Arial" w:cs="Arial"/>
        </w:rPr>
        <w:t>nebula</w:t>
      </w:r>
      <w:r w:rsidR="00D2799E">
        <w:rPr>
          <w:rFonts w:ascii="Arial" w:hAnsi="Arial" w:cs="Arial"/>
        </w:rPr>
        <w:t>e</w:t>
      </w:r>
      <w:r w:rsidRPr="00741FC3">
        <w:rPr>
          <w:rFonts w:ascii="Arial" w:hAnsi="Arial" w:cs="Arial"/>
        </w:rPr>
        <w:t xml:space="preserve">, shown in Figure 1 (lower). </w:t>
      </w:r>
    </w:p>
    <w:p w14:paraId="60014D54" w14:textId="77777777" w:rsidR="003A2566" w:rsidRDefault="00635804" w:rsidP="00650879">
      <w:pPr>
        <w:spacing w:after="0"/>
        <w:rPr>
          <w:rFonts w:ascii="Arial" w:hAnsi="Arial" w:cs="Arial"/>
        </w:rPr>
      </w:pPr>
      <w:r w:rsidRPr="00741FC3">
        <w:rPr>
          <w:rFonts w:ascii="Arial" w:hAnsi="Arial" w:cs="Arial"/>
          <w:noProof/>
          <w:lang w:eastAsia="en-AU"/>
        </w:rPr>
        <w:drawing>
          <wp:inline distT="0" distB="0" distL="0" distR="0" wp14:anchorId="0AD6FC41" wp14:editId="7497FB37">
            <wp:extent cx="5731510" cy="586584"/>
            <wp:effectExtent l="0" t="0" r="2540" b="4445"/>
            <wp:docPr id="4" name="Picture 4" descr="https://upload.wikimedia.org/wikipedia/commons/thumb/2/21/Visible_spectrum_of_hydrogen.jpg/1280px-Visible_spectrum_of_hydr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1/Visible_spectrum_of_hydrogen.jpg/1280px-Visible_spectrum_of_hydrog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8049" w14:textId="77777777" w:rsidR="00741FC3" w:rsidRPr="00741FC3" w:rsidRDefault="00741FC3" w:rsidP="00650879">
      <w:pPr>
        <w:spacing w:after="0"/>
        <w:rPr>
          <w:rFonts w:ascii="Arial" w:hAnsi="Arial" w:cs="Arial"/>
        </w:rPr>
      </w:pPr>
      <w:r w:rsidRPr="00741FC3">
        <w:rPr>
          <w:rFonts w:ascii="Arial" w:hAnsi="Arial" w:cs="Arial"/>
          <w:noProof/>
          <w:lang w:eastAsia="en-AU"/>
        </w:rPr>
        <w:drawing>
          <wp:inline distT="0" distB="0" distL="0" distR="0" wp14:anchorId="058D5044" wp14:editId="194CE7BE">
            <wp:extent cx="5734050" cy="666750"/>
            <wp:effectExtent l="0" t="0" r="0" b="0"/>
            <wp:docPr id="5" name="Picture 5" descr="Hydrogen discharge 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drogen discharge tu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63" b="31781"/>
                    <a:stretch/>
                  </pic:blipFill>
                  <pic:spPr bwMode="auto">
                    <a:xfrm>
                      <a:off x="0" y="0"/>
                      <a:ext cx="5731510" cy="6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63229" w14:textId="61620A8C" w:rsidR="00741FC3" w:rsidRPr="00741FC3" w:rsidRDefault="00504F08" w:rsidP="00741FC3">
      <w:pPr>
        <w:spacing w:after="0"/>
        <w:jc w:val="center"/>
        <w:rPr>
          <w:rFonts w:ascii="Arial" w:hAnsi="Arial" w:cs="Arial"/>
          <w:sz w:val="20"/>
        </w:rPr>
      </w:pPr>
      <w:r w:rsidRPr="00741FC3">
        <w:rPr>
          <w:rFonts w:ascii="Arial" w:hAnsi="Arial" w:cs="Arial"/>
          <w:sz w:val="20"/>
        </w:rPr>
        <w:t>Figure</w:t>
      </w:r>
      <w:r w:rsidR="00741FC3" w:rsidRPr="00741FC3">
        <w:rPr>
          <w:rFonts w:ascii="Arial" w:hAnsi="Arial" w:cs="Arial"/>
          <w:sz w:val="20"/>
        </w:rPr>
        <w:t>1</w:t>
      </w:r>
      <w:r w:rsidR="002B42AC">
        <w:rPr>
          <w:rFonts w:ascii="Arial" w:hAnsi="Arial" w:cs="Arial"/>
          <w:sz w:val="20"/>
        </w:rPr>
        <w:t>.</w:t>
      </w:r>
      <w:r w:rsidRPr="00741FC3">
        <w:rPr>
          <w:rFonts w:ascii="Arial" w:hAnsi="Arial" w:cs="Arial"/>
          <w:sz w:val="20"/>
        </w:rPr>
        <w:t xml:space="preserve"> The six lines of the Balmer series</w:t>
      </w:r>
      <w:r w:rsidR="00741FC3" w:rsidRPr="00741FC3">
        <w:rPr>
          <w:rFonts w:ascii="Arial" w:hAnsi="Arial" w:cs="Arial"/>
          <w:sz w:val="20"/>
        </w:rPr>
        <w:t xml:space="preserve"> (upper)</w:t>
      </w:r>
      <w:r w:rsidR="002B42AC">
        <w:rPr>
          <w:rFonts w:ascii="Arial" w:hAnsi="Arial" w:cs="Arial"/>
          <w:sz w:val="20"/>
        </w:rPr>
        <w:t>,</w:t>
      </w:r>
      <w:r w:rsidR="00741FC3" w:rsidRPr="00741FC3">
        <w:rPr>
          <w:rFonts w:ascii="Arial" w:hAnsi="Arial" w:cs="Arial"/>
          <w:sz w:val="20"/>
        </w:rPr>
        <w:t xml:space="preserve"> Hydrogen discharge (lower)</w:t>
      </w:r>
    </w:p>
    <w:p w14:paraId="2AFF06DE" w14:textId="77777777" w:rsidR="00741FC3" w:rsidRDefault="00741FC3" w:rsidP="00741FC3">
      <w:pPr>
        <w:spacing w:after="0"/>
        <w:jc w:val="center"/>
        <w:rPr>
          <w:rFonts w:ascii="Arial" w:hAnsi="Arial" w:cs="Arial"/>
          <w:sz w:val="20"/>
        </w:rPr>
      </w:pPr>
      <w:r w:rsidRPr="00741FC3">
        <w:rPr>
          <w:rFonts w:ascii="Arial" w:hAnsi="Arial" w:cs="Arial"/>
          <w:sz w:val="20"/>
        </w:rPr>
        <w:t xml:space="preserve">Image Credit: </w:t>
      </w:r>
      <w:r w:rsidR="00504F08" w:rsidRPr="00741FC3">
        <w:rPr>
          <w:rFonts w:ascii="Arial" w:hAnsi="Arial" w:cs="Arial"/>
          <w:sz w:val="20"/>
        </w:rPr>
        <w:t xml:space="preserve">User: Jan </w:t>
      </w:r>
      <w:proofErr w:type="spellStart"/>
      <w:r w:rsidR="00504F08" w:rsidRPr="00741FC3">
        <w:rPr>
          <w:rFonts w:ascii="Arial" w:hAnsi="Arial" w:cs="Arial"/>
          <w:sz w:val="20"/>
        </w:rPr>
        <w:t>Homann</w:t>
      </w:r>
      <w:proofErr w:type="spellEnd"/>
      <w:r w:rsidR="00504F08" w:rsidRPr="00741FC3">
        <w:rPr>
          <w:rFonts w:ascii="Arial" w:hAnsi="Arial" w:cs="Arial"/>
          <w:sz w:val="20"/>
        </w:rPr>
        <w:t>/Wikimedia Commons/CC BY-SA 3.0</w:t>
      </w:r>
      <w:r w:rsidRPr="00741FC3">
        <w:rPr>
          <w:rFonts w:ascii="Arial" w:hAnsi="Arial" w:cs="Arial"/>
          <w:sz w:val="20"/>
        </w:rPr>
        <w:t xml:space="preserve"> &amp; User: Alchemist-</w:t>
      </w:r>
      <w:proofErr w:type="spellStart"/>
      <w:r w:rsidRPr="00741FC3">
        <w:rPr>
          <w:rFonts w:ascii="Arial" w:hAnsi="Arial" w:cs="Arial"/>
          <w:sz w:val="20"/>
        </w:rPr>
        <w:t>hp</w:t>
      </w:r>
      <w:proofErr w:type="spellEnd"/>
      <w:proofErr w:type="gramStart"/>
      <w:r w:rsidRPr="00741FC3">
        <w:rPr>
          <w:rFonts w:ascii="Arial" w:hAnsi="Arial" w:cs="Arial"/>
          <w:sz w:val="20"/>
        </w:rPr>
        <w:t>/(</w:t>
      </w:r>
      <w:proofErr w:type="gramEnd"/>
      <w:r w:rsidRPr="00741FC3">
        <w:rPr>
          <w:rFonts w:ascii="Arial" w:hAnsi="Arial" w:cs="Arial"/>
          <w:sz w:val="20"/>
        </w:rPr>
        <w:t>www.pse-mendelejew.de)/FAL</w:t>
      </w:r>
    </w:p>
    <w:p w14:paraId="14B7406D" w14:textId="77777777" w:rsidR="00741FC3" w:rsidRPr="00741FC3" w:rsidRDefault="00741FC3" w:rsidP="00741FC3">
      <w:pPr>
        <w:spacing w:after="0"/>
        <w:jc w:val="center"/>
        <w:rPr>
          <w:rFonts w:ascii="Arial" w:hAnsi="Arial" w:cs="Arial"/>
          <w:sz w:val="20"/>
        </w:rPr>
      </w:pPr>
    </w:p>
    <w:p w14:paraId="552F5DE7" w14:textId="629AAC97" w:rsidR="00504F08" w:rsidRDefault="00741FC3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spectral lines were observed long before an empirical equation was </w:t>
      </w:r>
      <w:r w:rsidR="00C31A1E">
        <w:rPr>
          <w:rFonts w:ascii="Arial" w:hAnsi="Arial" w:cs="Arial"/>
        </w:rPr>
        <w:t>discovered</w:t>
      </w:r>
      <w:r>
        <w:rPr>
          <w:rFonts w:ascii="Arial" w:hAnsi="Arial" w:cs="Arial"/>
        </w:rPr>
        <w:t xml:space="preserve"> by Johann Balmer in 1885</w:t>
      </w:r>
      <w:r w:rsidR="008E656A">
        <w:rPr>
          <w:rFonts w:ascii="Arial" w:hAnsi="Arial" w:cs="Arial"/>
        </w:rPr>
        <w:t xml:space="preserve"> which </w:t>
      </w:r>
      <w:r w:rsidR="00C31A1E">
        <w:rPr>
          <w:rFonts w:ascii="Arial" w:hAnsi="Arial" w:cs="Arial"/>
        </w:rPr>
        <w:t>could describe</w:t>
      </w:r>
      <w:r w:rsidR="008E656A">
        <w:rPr>
          <w:rFonts w:ascii="Arial" w:hAnsi="Arial" w:cs="Arial"/>
        </w:rPr>
        <w:t xml:space="preserve"> the wavelengths</w:t>
      </w:r>
      <w:r w:rsidR="00D65221">
        <w:rPr>
          <w:rFonts w:ascii="Arial" w:hAnsi="Arial" w:cs="Arial"/>
        </w:rPr>
        <w:t xml:space="preserve"> of the lines. However,</w:t>
      </w:r>
      <w:r w:rsidR="008E656A">
        <w:rPr>
          <w:rFonts w:ascii="Arial" w:hAnsi="Arial" w:cs="Arial"/>
        </w:rPr>
        <w:t xml:space="preserve"> it was not known at the time why this equation matched the observed wavelengths. </w:t>
      </w:r>
      <w:r w:rsidR="00D65221">
        <w:rPr>
          <w:rFonts w:ascii="Arial" w:hAnsi="Arial" w:cs="Arial"/>
        </w:rPr>
        <w:t>Balmer’s equat</w:t>
      </w:r>
      <w:r w:rsidR="00D2799E">
        <w:rPr>
          <w:rFonts w:ascii="Arial" w:hAnsi="Arial" w:cs="Arial"/>
        </w:rPr>
        <w:t>ion for wavelengths is given as</w:t>
      </w:r>
    </w:p>
    <w:p w14:paraId="15324BA0" w14:textId="77777777" w:rsidR="00D65221" w:rsidRPr="00D65221" w:rsidRDefault="00D65221" w:rsidP="0025571D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λ=B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</w:rPr>
            <m:t>,</m:t>
          </m:r>
        </m:oMath>
      </m:oMathPara>
    </w:p>
    <w:p w14:paraId="458BF165" w14:textId="77777777" w:rsidR="00716773" w:rsidRDefault="00D2799E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65221">
        <w:rPr>
          <w:rFonts w:ascii="Arial" w:hAnsi="Arial" w:cs="Arial"/>
        </w:rPr>
        <w:t>here λ</w:t>
      </w:r>
      <w:r w:rsidR="00D65221" w:rsidRPr="00D65221">
        <w:rPr>
          <w:rFonts w:ascii="Arial" w:hAnsi="Arial" w:cs="Arial"/>
        </w:rPr>
        <w:t xml:space="preserve"> is the </w:t>
      </w:r>
      <w:r w:rsidR="00D65221">
        <w:rPr>
          <w:rFonts w:ascii="Arial" w:hAnsi="Arial" w:cs="Arial"/>
        </w:rPr>
        <w:t xml:space="preserve">predicted wavelength, </w:t>
      </w:r>
      <w:r w:rsidR="00D65221" w:rsidRPr="00D65221">
        <w:rPr>
          <w:rFonts w:ascii="Arial" w:hAnsi="Arial" w:cs="Arial"/>
        </w:rPr>
        <w:t xml:space="preserve">B is a constant with the value of </w:t>
      </w:r>
      <w:r w:rsidR="00D65221">
        <w:rPr>
          <w:rFonts w:ascii="Arial" w:hAnsi="Arial" w:cs="Arial"/>
        </w:rPr>
        <w:t xml:space="preserve">364.50682 nm, </w:t>
      </w:r>
      <w:r w:rsidR="00D65221" w:rsidRPr="00C31A1E">
        <w:rPr>
          <w:rFonts w:ascii="Arial" w:hAnsi="Arial" w:cs="Arial"/>
          <w:i/>
        </w:rPr>
        <w:t>m</w:t>
      </w:r>
      <w:r w:rsidR="00D65221" w:rsidRPr="00D65221">
        <w:rPr>
          <w:rFonts w:ascii="Arial" w:hAnsi="Arial" w:cs="Arial"/>
        </w:rPr>
        <w:t xml:space="preserve"> is equal to 2</w:t>
      </w:r>
      <w:r w:rsidR="00D65221">
        <w:rPr>
          <w:rFonts w:ascii="Arial" w:hAnsi="Arial" w:cs="Arial"/>
        </w:rPr>
        <w:t xml:space="preserve">, and </w:t>
      </w:r>
      <w:r w:rsidR="00D65221" w:rsidRPr="00C31A1E">
        <w:rPr>
          <w:rFonts w:ascii="Arial" w:hAnsi="Arial" w:cs="Arial"/>
          <w:i/>
        </w:rPr>
        <w:t>n</w:t>
      </w:r>
      <w:r w:rsidR="00D65221" w:rsidRPr="00D65221">
        <w:rPr>
          <w:rFonts w:ascii="Arial" w:hAnsi="Arial" w:cs="Arial"/>
        </w:rPr>
        <w:t xml:space="preserve"> is an integer such that </w:t>
      </w:r>
      <w:r w:rsidR="00D65221" w:rsidRPr="00C31A1E">
        <w:rPr>
          <w:rFonts w:ascii="Arial" w:hAnsi="Arial" w:cs="Arial"/>
          <w:i/>
        </w:rPr>
        <w:t>n</w:t>
      </w:r>
      <w:r w:rsidR="00D65221" w:rsidRPr="00D65221">
        <w:rPr>
          <w:rFonts w:ascii="Arial" w:hAnsi="Arial" w:cs="Arial"/>
        </w:rPr>
        <w:t xml:space="preserve"> &gt; </w:t>
      </w:r>
      <w:r w:rsidR="00D65221" w:rsidRPr="00C31A1E">
        <w:rPr>
          <w:rFonts w:ascii="Arial" w:hAnsi="Arial" w:cs="Arial"/>
          <w:i/>
        </w:rPr>
        <w:t>m</w:t>
      </w:r>
      <w:r w:rsidR="00D65221">
        <w:rPr>
          <w:rFonts w:ascii="Arial" w:hAnsi="Arial" w:cs="Arial"/>
        </w:rPr>
        <w:t xml:space="preserve">. </w:t>
      </w:r>
    </w:p>
    <w:p w14:paraId="24B89958" w14:textId="7FA5F747" w:rsidR="00BF1833" w:rsidRDefault="006018E5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now know that this equation was able to describe the wavelengths of the Balmer series because these wavelengths correspond to electron transitions between higher energy levels and the n=2 energy level. </w:t>
      </w:r>
      <w:r w:rsidR="00A11150">
        <w:rPr>
          <w:rFonts w:ascii="Arial" w:hAnsi="Arial" w:cs="Arial"/>
        </w:rPr>
        <w:t>As electrons transition from higher energy levels to lower energy levels, conservation of energy is maintained by the emission of a photon</w:t>
      </w:r>
      <w:r w:rsidR="00D2799E">
        <w:rPr>
          <w:rFonts w:ascii="Arial" w:hAnsi="Arial" w:cs="Arial"/>
        </w:rPr>
        <w:t xml:space="preserve"> of energy</w:t>
      </w:r>
      <w:r w:rsidR="00A11150">
        <w:rPr>
          <w:rFonts w:ascii="Arial" w:hAnsi="Arial" w:cs="Arial"/>
        </w:rPr>
        <w:t xml:space="preserve"> equal to the difference between the final and initial energy levels of the electron.</w:t>
      </w:r>
      <w:r w:rsidR="00C31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 a transition is depicted in Figure 2</w:t>
      </w:r>
      <w:r w:rsidR="00D2799E">
        <w:rPr>
          <w:rFonts w:ascii="Arial" w:hAnsi="Arial" w:cs="Arial"/>
        </w:rPr>
        <w:t xml:space="preserve">, for the </w:t>
      </w: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H</m:t>
            </m:r>
          </m:e>
          <m:sub>
            <m:r>
              <w:rPr>
                <w:rFonts w:ascii="Cambria Math" w:hAnsi="Cambria Math" w:cs="Arial"/>
                <w:szCs w:val="20"/>
              </w:rPr>
              <m:t>α</m:t>
            </m:r>
          </m:sub>
        </m:sSub>
      </m:oMath>
      <w:r w:rsidR="00D2799E">
        <w:rPr>
          <w:rFonts w:ascii="Arial" w:eastAsiaTheme="minorEastAsia" w:hAnsi="Arial" w:cs="Arial"/>
          <w:szCs w:val="20"/>
        </w:rPr>
        <w:t xml:space="preserve"> </w:t>
      </w:r>
      <w:r w:rsidR="00D2799E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. We also know the difference between </w:t>
      </w:r>
      <w:r w:rsidR="00D2799E">
        <w:rPr>
          <w:rFonts w:ascii="Arial" w:hAnsi="Arial" w:cs="Arial"/>
        </w:rPr>
        <w:t>successive</w:t>
      </w:r>
      <w:r>
        <w:rPr>
          <w:rFonts w:ascii="Arial" w:hAnsi="Arial" w:cs="Arial"/>
        </w:rPr>
        <w:t xml:space="preserve"> energy levels decreas</w:t>
      </w:r>
      <w:r w:rsidR="002B42A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as </w:t>
      </w:r>
      <w:r w:rsidRPr="00C31A1E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increases. </w:t>
      </w:r>
      <w:r w:rsidR="002B42AC">
        <w:rPr>
          <w:rFonts w:ascii="Arial" w:hAnsi="Arial" w:cs="Arial"/>
        </w:rPr>
        <w:t xml:space="preserve">In addition, </w:t>
      </w:r>
      <w:r>
        <w:rPr>
          <w:rFonts w:ascii="Arial" w:hAnsi="Arial" w:cs="Arial"/>
        </w:rPr>
        <w:t>in the limit as n goes to infinity, the wavelength approaches the value of the constant B. This limit corresponds to the amount of energy required to ionise the</w:t>
      </w:r>
      <w:r w:rsidR="00D2799E">
        <w:rPr>
          <w:rFonts w:ascii="Arial" w:hAnsi="Arial" w:cs="Arial"/>
        </w:rPr>
        <w:t xml:space="preserve"> hydrogen</w:t>
      </w:r>
      <w:r>
        <w:rPr>
          <w:rFonts w:ascii="Arial" w:hAnsi="Arial" w:cs="Arial"/>
        </w:rPr>
        <w:t xml:space="preserve"> atom and </w:t>
      </w:r>
      <w:r w:rsidR="00882005">
        <w:rPr>
          <w:rFonts w:ascii="Arial" w:hAnsi="Arial" w:cs="Arial"/>
        </w:rPr>
        <w:t>eject the electron.</w:t>
      </w:r>
      <w:r w:rsidR="00D2799E">
        <w:rPr>
          <w:rFonts w:ascii="Arial" w:hAnsi="Arial" w:cs="Arial"/>
        </w:rPr>
        <w:t xml:space="preserve"> This is also referred to as the electron binding energy.</w:t>
      </w:r>
      <w:r>
        <w:rPr>
          <w:rFonts w:ascii="Arial" w:hAnsi="Arial" w:cs="Arial"/>
        </w:rPr>
        <w:t xml:space="preserve"> </w:t>
      </w:r>
    </w:p>
    <w:p w14:paraId="58DF7CCA" w14:textId="453FFD48" w:rsidR="00716773" w:rsidRDefault="00BF1833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previously stated, </w:t>
      </w:r>
      <w:r w:rsidR="002B42AC">
        <w:rPr>
          <w:rFonts w:ascii="Arial" w:hAnsi="Arial" w:cs="Arial"/>
        </w:rPr>
        <w:t xml:space="preserve">the law of </w:t>
      </w:r>
      <w:r>
        <w:rPr>
          <w:rFonts w:ascii="Arial" w:hAnsi="Arial" w:cs="Arial"/>
        </w:rPr>
        <w:t>conservation of energy dictates that t</w:t>
      </w:r>
      <w:r w:rsidR="00716773">
        <w:rPr>
          <w:rFonts w:ascii="Arial" w:hAnsi="Arial" w:cs="Arial"/>
        </w:rPr>
        <w:t xml:space="preserve">he frequency of the emitted photon </w:t>
      </w:r>
      <w:r>
        <w:rPr>
          <w:rFonts w:ascii="Arial" w:hAnsi="Arial" w:cs="Arial"/>
        </w:rPr>
        <w:t>be equal to</w:t>
      </w:r>
      <w:r w:rsidR="00716773">
        <w:rPr>
          <w:rFonts w:ascii="Arial" w:hAnsi="Arial" w:cs="Arial"/>
        </w:rPr>
        <w:t xml:space="preserve"> the energy difference between the </w:t>
      </w:r>
      <w:r w:rsidR="00C31A1E">
        <w:rPr>
          <w:rFonts w:ascii="Arial" w:hAnsi="Arial" w:cs="Arial"/>
        </w:rPr>
        <w:t xml:space="preserve">transitioning </w:t>
      </w:r>
      <w:r w:rsidR="00716773">
        <w:rPr>
          <w:rFonts w:ascii="Arial" w:hAnsi="Arial" w:cs="Arial"/>
        </w:rPr>
        <w:t>electron energy levels in the atom.</w:t>
      </w:r>
      <w:r>
        <w:rPr>
          <w:rFonts w:ascii="Arial" w:hAnsi="Arial" w:cs="Arial"/>
        </w:rPr>
        <w:t xml:space="preserve"> </w:t>
      </w:r>
      <w:r w:rsidR="00716773">
        <w:rPr>
          <w:rFonts w:ascii="Arial" w:hAnsi="Arial" w:cs="Arial"/>
        </w:rPr>
        <w:t xml:space="preserve"> This relation is quantified by the Einstein-Planck equation</w:t>
      </w:r>
      <w:r>
        <w:rPr>
          <w:rFonts w:ascii="Arial" w:hAnsi="Arial" w:cs="Arial"/>
        </w:rPr>
        <w:t xml:space="preserve"> (sometimes referred to</w:t>
      </w:r>
      <w:r w:rsidR="002B4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context of electron transitions</w:t>
      </w:r>
      <w:r w:rsidR="002B4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Bohr’s frequency condition)</w:t>
      </w:r>
      <w:r w:rsidR="00D2799E">
        <w:rPr>
          <w:rFonts w:ascii="Arial" w:hAnsi="Arial" w:cs="Arial"/>
        </w:rPr>
        <w:t>, given as</w:t>
      </w:r>
    </w:p>
    <w:p w14:paraId="10C33797" w14:textId="77777777" w:rsidR="00716773" w:rsidRPr="00A11150" w:rsidRDefault="00A11150" w:rsidP="0025571D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E=hf</m:t>
          </m:r>
          <m:r>
            <w:rPr>
              <w:rFonts w:ascii="Cambria Math" w:eastAsiaTheme="minorEastAsia" w:hAnsi="Cambria Math" w:cs="Arial"/>
            </w:rPr>
            <m:t>,</m:t>
          </m:r>
        </m:oMath>
      </m:oMathPara>
    </w:p>
    <w:p w14:paraId="2C38460B" w14:textId="0DD194DD" w:rsidR="00A11150" w:rsidRPr="00BF1833" w:rsidRDefault="00D2799E" w:rsidP="0025571D">
      <w:pPr>
        <w:jc w:val="both"/>
        <w:rPr>
          <w:rFonts w:ascii="Arial" w:hAnsi="Arial" w:cs="Arial"/>
        </w:rPr>
      </w:pPr>
      <w:proofErr w:type="gramStart"/>
      <w:r>
        <w:rPr>
          <w:rFonts w:ascii="Arial" w:eastAsiaTheme="minorEastAsia" w:hAnsi="Arial" w:cs="Arial"/>
        </w:rPr>
        <w:lastRenderedPageBreak/>
        <w:t>w</w:t>
      </w:r>
      <w:r w:rsidR="00A11150">
        <w:rPr>
          <w:rFonts w:ascii="Arial" w:eastAsiaTheme="minorEastAsia" w:hAnsi="Arial" w:cs="Arial"/>
        </w:rPr>
        <w:t>here</w:t>
      </w:r>
      <w:proofErr w:type="gramEnd"/>
      <w:r w:rsidR="00A11150">
        <w:rPr>
          <w:rFonts w:ascii="Arial" w:eastAsiaTheme="minorEastAsia" w:hAnsi="Arial" w:cs="Arial"/>
        </w:rPr>
        <w:t xml:space="preserve"> E represents the difference in electron energy levels (this is also equal to the photon energy), </w:t>
      </w:r>
      <w:r w:rsidR="00A11150" w:rsidRPr="00A11150">
        <w:rPr>
          <w:rFonts w:ascii="Arial" w:eastAsiaTheme="minorEastAsia" w:hAnsi="Arial" w:cs="Arial"/>
          <w:i/>
        </w:rPr>
        <w:t>h</w:t>
      </w:r>
      <w:r w:rsidR="00A11150">
        <w:rPr>
          <w:rFonts w:ascii="Arial" w:eastAsiaTheme="minorEastAsia" w:hAnsi="Arial" w:cs="Arial"/>
        </w:rPr>
        <w:t xml:space="preserve"> is Planck’s constant (6.626 </w:t>
      </w:r>
      <w:r w:rsidR="00A11150" w:rsidRPr="00FF733B">
        <w:rPr>
          <w:rFonts w:ascii="Arial" w:hAnsi="Arial" w:cs="Arial"/>
        </w:rPr>
        <w:t>×10</w:t>
      </w:r>
      <w:r w:rsidR="00A11150">
        <w:rPr>
          <w:rFonts w:ascii="Arial" w:hAnsi="Arial" w:cs="Arial"/>
          <w:vertAlign w:val="superscript"/>
        </w:rPr>
        <w:t>-34</w:t>
      </w:r>
      <w:r w:rsidR="00490331">
        <w:rPr>
          <w:rFonts w:ascii="Arial" w:hAnsi="Arial" w:cs="Arial"/>
        </w:rPr>
        <w:t xml:space="preserve"> J.s</w:t>
      </w:r>
      <w:r w:rsidR="00A11150">
        <w:rPr>
          <w:rFonts w:ascii="Arial" w:hAnsi="Arial" w:cs="Arial"/>
        </w:rPr>
        <w:t xml:space="preserve">), and </w:t>
      </w:r>
      <w:r w:rsidR="00A11150" w:rsidRPr="00BF1833">
        <w:rPr>
          <w:rFonts w:ascii="Arial" w:hAnsi="Arial" w:cs="Arial"/>
          <w:i/>
        </w:rPr>
        <w:t>f</w:t>
      </w:r>
      <w:r w:rsidR="00A11150" w:rsidRPr="00BF1833">
        <w:rPr>
          <w:rFonts w:ascii="Arial" w:hAnsi="Arial" w:cs="Arial"/>
        </w:rPr>
        <w:t xml:space="preserve"> is the frequency of the emitted photon. We can also use the wave equation,</w:t>
      </w:r>
    </w:p>
    <w:p w14:paraId="05E3D197" w14:textId="77777777" w:rsidR="00A11150" w:rsidRPr="00BF1833" w:rsidRDefault="00BF1833" w:rsidP="0025571D">
      <w:pPr>
        <w:jc w:val="both"/>
        <w:rPr>
          <w:rFonts w:ascii="Arial" w:eastAsiaTheme="minorEastAsia" w:hAnsi="Arial" w:cs="Arial"/>
          <w:i/>
        </w:rPr>
      </w:pPr>
      <m:oMathPara>
        <m:oMath>
          <m:r>
            <w:rPr>
              <w:rFonts w:ascii="Cambria Math" w:hAnsi="Cambria Math" w:cs="Arial"/>
            </w:rPr>
            <m:t>c=fλ</m:t>
          </m:r>
          <m:r>
            <w:rPr>
              <w:rFonts w:ascii="Cambria Math" w:eastAsiaTheme="minorEastAsia" w:hAnsi="Cambria Math" w:cs="Arial"/>
            </w:rPr>
            <m:t>,</m:t>
          </m:r>
        </m:oMath>
      </m:oMathPara>
    </w:p>
    <w:p w14:paraId="0FEC4D2C" w14:textId="77777777" w:rsidR="00A11150" w:rsidRPr="00BF1833" w:rsidRDefault="00D2799E" w:rsidP="0025571D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</w:t>
      </w:r>
      <w:r w:rsidR="00A11150" w:rsidRPr="00BF1833">
        <w:rPr>
          <w:rFonts w:ascii="Arial" w:eastAsiaTheme="minorEastAsia" w:hAnsi="Arial" w:cs="Arial"/>
        </w:rPr>
        <w:t xml:space="preserve">here </w:t>
      </w:r>
      <w:r w:rsidR="00A11150" w:rsidRPr="00BF1833">
        <w:rPr>
          <w:rFonts w:ascii="Arial" w:eastAsiaTheme="minorEastAsia" w:hAnsi="Arial" w:cs="Arial"/>
          <w:i/>
        </w:rPr>
        <w:t>c</w:t>
      </w:r>
      <w:r w:rsidR="00A11150" w:rsidRPr="00BF1833">
        <w:rPr>
          <w:rFonts w:ascii="Arial" w:eastAsiaTheme="minorEastAsia" w:hAnsi="Arial" w:cs="Arial"/>
        </w:rPr>
        <w:t xml:space="preserve"> is the speed of light, </w:t>
      </w:r>
      <w:r w:rsidR="00A11150" w:rsidRPr="00BF1833">
        <w:rPr>
          <w:rFonts w:ascii="Arial" w:eastAsiaTheme="minorEastAsia" w:hAnsi="Arial" w:cs="Arial"/>
          <w:i/>
        </w:rPr>
        <w:t>f</w:t>
      </w:r>
      <w:r w:rsidR="00A11150" w:rsidRPr="00BF1833">
        <w:rPr>
          <w:rFonts w:ascii="Arial" w:eastAsiaTheme="minorEastAsia" w:hAnsi="Arial" w:cs="Arial"/>
        </w:rPr>
        <w:t xml:space="preserve"> is the </w:t>
      </w:r>
      <w:r w:rsidR="00BF1833" w:rsidRPr="00BF1833">
        <w:rPr>
          <w:rFonts w:ascii="Arial" w:eastAsiaTheme="minorEastAsia" w:hAnsi="Arial" w:cs="Arial"/>
        </w:rPr>
        <w:t>frequency</w:t>
      </w:r>
      <w:r w:rsidR="00A11150" w:rsidRPr="00BF1833">
        <w:rPr>
          <w:rFonts w:ascii="Arial" w:eastAsiaTheme="minorEastAsia" w:hAnsi="Arial" w:cs="Arial"/>
        </w:rPr>
        <w:t xml:space="preserve"> of the light, and </w:t>
      </w:r>
      <w:r w:rsidR="00A11150" w:rsidRPr="00BF1833">
        <w:rPr>
          <w:rFonts w:ascii="Arial" w:eastAsiaTheme="minorEastAsia" w:hAnsi="Arial" w:cs="Arial"/>
          <w:i/>
        </w:rPr>
        <w:t>λ</w:t>
      </w:r>
      <w:r w:rsidR="00A11150" w:rsidRPr="00BF1833">
        <w:rPr>
          <w:rFonts w:ascii="Arial" w:eastAsiaTheme="minorEastAsia" w:hAnsi="Arial" w:cs="Arial"/>
        </w:rPr>
        <w:t xml:space="preserve"> is the wavelength of the light, in order to relate the energy of the electron transitions directly to the wav</w:t>
      </w:r>
      <w:r w:rsidR="00C31A1E">
        <w:rPr>
          <w:rFonts w:ascii="Arial" w:eastAsiaTheme="minorEastAsia" w:hAnsi="Arial" w:cs="Arial"/>
        </w:rPr>
        <w:t>elength of the emitted photon</w:t>
      </w:r>
    </w:p>
    <w:p w14:paraId="7759571D" w14:textId="77777777" w:rsidR="00A11150" w:rsidRPr="00A11150" w:rsidRDefault="00A11150" w:rsidP="0025571D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hc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λ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</w:rPr>
            <m:t>.</m:t>
          </m:r>
        </m:oMath>
      </m:oMathPara>
    </w:p>
    <w:p w14:paraId="396FF456" w14:textId="7BFAD8CB" w:rsidR="00D65221" w:rsidRDefault="00882005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hydrogen spectral series were also discovered, for instance the Lyman series describes transitions that end on the </w:t>
      </w:r>
      <w:r w:rsidRPr="00C31A1E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1 energy level</w:t>
      </w:r>
      <w:r w:rsidR="00FF45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45C8">
        <w:rPr>
          <w:rFonts w:ascii="Arial" w:hAnsi="Arial" w:cs="Arial"/>
        </w:rPr>
        <w:t>A</w:t>
      </w:r>
      <w:r>
        <w:rPr>
          <w:rFonts w:ascii="Arial" w:hAnsi="Arial" w:cs="Arial"/>
        </w:rPr>
        <w:t>s a result</w:t>
      </w:r>
      <w:r w:rsidR="00FF45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BF6309">
        <w:rPr>
          <w:rFonts w:ascii="Arial" w:hAnsi="Arial" w:cs="Arial"/>
        </w:rPr>
        <w:t>photons</w:t>
      </w:r>
      <w:r>
        <w:rPr>
          <w:rFonts w:ascii="Arial" w:hAnsi="Arial" w:cs="Arial"/>
        </w:rPr>
        <w:t xml:space="preserve"> e</w:t>
      </w:r>
      <w:r w:rsidR="00BF6309">
        <w:rPr>
          <w:rFonts w:ascii="Arial" w:hAnsi="Arial" w:cs="Arial"/>
        </w:rPr>
        <w:t>mitted from these transitions are</w:t>
      </w:r>
      <w:r>
        <w:rPr>
          <w:rFonts w:ascii="Arial" w:hAnsi="Arial" w:cs="Arial"/>
        </w:rPr>
        <w:t xml:space="preserve"> higher</w:t>
      </w:r>
      <w:r w:rsidR="00BF6309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energy than the Balmer series</w:t>
      </w:r>
      <w:r w:rsidR="00C31A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C31A1E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the Lyman series is in the ultraviolet </w:t>
      </w:r>
      <w:r w:rsidR="00D2799E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 of</w:t>
      </w:r>
      <w:r w:rsidR="00D2799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electromagnetic </w:t>
      </w:r>
      <w:r w:rsidR="00D2799E">
        <w:rPr>
          <w:rFonts w:ascii="Arial" w:hAnsi="Arial" w:cs="Arial"/>
        </w:rPr>
        <w:t>spectrum</w:t>
      </w:r>
      <w:r>
        <w:rPr>
          <w:rFonts w:ascii="Arial" w:hAnsi="Arial" w:cs="Arial"/>
        </w:rPr>
        <w:t xml:space="preserve">. Another example is the </w:t>
      </w:r>
      <w:proofErr w:type="spellStart"/>
      <w:r>
        <w:rPr>
          <w:rFonts w:ascii="Arial" w:hAnsi="Arial" w:cs="Arial"/>
        </w:rPr>
        <w:t>Paschen</w:t>
      </w:r>
      <w:proofErr w:type="spellEnd"/>
      <w:r>
        <w:rPr>
          <w:rFonts w:ascii="Arial" w:hAnsi="Arial" w:cs="Arial"/>
        </w:rPr>
        <w:t xml:space="preserve"> series</w:t>
      </w:r>
      <w:r w:rsidR="00D2799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this series describ</w:t>
      </w:r>
      <w:r w:rsidR="00BF6309">
        <w:rPr>
          <w:rFonts w:ascii="Arial" w:hAnsi="Arial" w:cs="Arial"/>
        </w:rPr>
        <w:t xml:space="preserve">es transitions to the </w:t>
      </w:r>
      <w:r w:rsidR="00BF6309" w:rsidRPr="00C31A1E">
        <w:rPr>
          <w:rFonts w:ascii="Arial" w:hAnsi="Arial" w:cs="Arial"/>
          <w:i/>
        </w:rPr>
        <w:t>n</w:t>
      </w:r>
      <w:r w:rsidR="00C31A1E">
        <w:rPr>
          <w:rFonts w:ascii="Arial" w:hAnsi="Arial" w:cs="Arial"/>
        </w:rPr>
        <w:t xml:space="preserve"> </w:t>
      </w:r>
      <w:r w:rsidR="00BF6309">
        <w:rPr>
          <w:rFonts w:ascii="Arial" w:hAnsi="Arial" w:cs="Arial"/>
        </w:rPr>
        <w:t>=</w:t>
      </w:r>
      <w:r w:rsidR="00C31A1E">
        <w:rPr>
          <w:rFonts w:ascii="Arial" w:hAnsi="Arial" w:cs="Arial"/>
        </w:rPr>
        <w:t xml:space="preserve"> </w:t>
      </w:r>
      <w:r w:rsidR="00BF6309">
        <w:rPr>
          <w:rFonts w:ascii="Arial" w:hAnsi="Arial" w:cs="Arial"/>
        </w:rPr>
        <w:t xml:space="preserve">3 level, </w:t>
      </w:r>
      <w:r w:rsidR="00D2799E">
        <w:rPr>
          <w:rFonts w:ascii="Arial" w:hAnsi="Arial" w:cs="Arial"/>
        </w:rPr>
        <w:t>so</w:t>
      </w:r>
      <w:r w:rsidR="00BF6309">
        <w:rPr>
          <w:rFonts w:ascii="Arial" w:hAnsi="Arial" w:cs="Arial"/>
        </w:rPr>
        <w:t xml:space="preserve"> the emitted photons are lower in energy th</w:t>
      </w:r>
      <w:r w:rsidR="00D2799E">
        <w:rPr>
          <w:rFonts w:ascii="Arial" w:hAnsi="Arial" w:cs="Arial"/>
        </w:rPr>
        <w:t>a</w:t>
      </w:r>
      <w:r w:rsidR="00BF6309">
        <w:rPr>
          <w:rFonts w:ascii="Arial" w:hAnsi="Arial" w:cs="Arial"/>
        </w:rPr>
        <w:t>n the Balmer series and are categorised as infrared.</w:t>
      </w:r>
      <w:r w:rsidR="00716773">
        <w:rPr>
          <w:rFonts w:ascii="Arial" w:hAnsi="Arial" w:cs="Arial"/>
        </w:rPr>
        <w:t xml:space="preserve"> </w:t>
      </w:r>
    </w:p>
    <w:p w14:paraId="16FD6A60" w14:textId="77777777" w:rsidR="008E656A" w:rsidRPr="007B5D0C" w:rsidRDefault="008E656A" w:rsidP="00650879">
      <w:pPr>
        <w:shd w:val="clear" w:color="auto" w:fill="FFFFFF"/>
        <w:spacing w:after="0"/>
        <w:jc w:val="center"/>
        <w:textAlignment w:val="baseline"/>
        <w:rPr>
          <w:rFonts w:cs="Arial"/>
        </w:rPr>
      </w:pPr>
      <w:r w:rsidRPr="007B5D0C">
        <w:rPr>
          <w:rFonts w:cs="Arial"/>
          <w:noProof/>
          <w:lang w:eastAsia="en-AU"/>
        </w:rPr>
        <w:drawing>
          <wp:inline distT="0" distB="0" distL="0" distR="0" wp14:anchorId="36632FDA" wp14:editId="162F9125">
            <wp:extent cx="3188099" cy="2777133"/>
            <wp:effectExtent l="0" t="0" r="0" b="0"/>
            <wp:docPr id="7" name="Picture 7" descr="https://upload.wikimedia.org/wikipedia/commons/thumb/9/93/Bohr_atom_model.svg/1024px-Bohr_atom_mod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3/Bohr_atom_model.svg/1024px-Bohr_atom_model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0" cy="27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A444" w14:textId="77777777" w:rsidR="008E656A" w:rsidRDefault="008E656A" w:rsidP="00650879">
      <w:pPr>
        <w:shd w:val="clear" w:color="auto" w:fill="FFFFFF"/>
        <w:spacing w:after="0"/>
        <w:jc w:val="center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Figure 2: The Bohr model of the atom</w:t>
      </w:r>
      <w:r w:rsidR="00D2799E">
        <w:rPr>
          <w:rFonts w:cs="Arial"/>
          <w:szCs w:val="20"/>
        </w:rPr>
        <w:t xml:space="preserve"> showing the </w:t>
      </w: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H</m:t>
            </m:r>
          </m:e>
          <m:sub>
            <m:r>
              <w:rPr>
                <w:rFonts w:ascii="Cambria Math" w:hAnsi="Cambria Math" w:cs="Arial"/>
                <w:szCs w:val="20"/>
              </w:rPr>
              <m:t>α</m:t>
            </m:r>
          </m:sub>
        </m:sSub>
      </m:oMath>
      <w:r w:rsidR="00D2799E">
        <w:rPr>
          <w:rFonts w:eastAsiaTheme="minorEastAsia" w:cs="Arial"/>
          <w:szCs w:val="20"/>
        </w:rPr>
        <w:t xml:space="preserve"> line</w:t>
      </w:r>
    </w:p>
    <w:p w14:paraId="353891CE" w14:textId="021EEF88" w:rsidR="008E656A" w:rsidRPr="007B5D0C" w:rsidRDefault="008E656A" w:rsidP="008E656A">
      <w:pPr>
        <w:shd w:val="clear" w:color="auto" w:fill="FFFFFF"/>
        <w:jc w:val="center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Image credit: U</w:t>
      </w:r>
      <w:r w:rsidRPr="007B5D0C">
        <w:rPr>
          <w:rFonts w:cs="Arial"/>
          <w:szCs w:val="20"/>
        </w:rPr>
        <w:t>ser:</w:t>
      </w:r>
      <w:r w:rsidR="00FF45C8">
        <w:rPr>
          <w:rFonts w:cs="Arial"/>
          <w:szCs w:val="20"/>
        </w:rPr>
        <w:t xml:space="preserve"> </w:t>
      </w:r>
      <w:proofErr w:type="spellStart"/>
      <w:r w:rsidRPr="00BF6309">
        <w:rPr>
          <w:rFonts w:cs="Arial"/>
          <w:szCs w:val="20"/>
          <w:shd w:val="clear" w:color="auto" w:fill="F8F9FA"/>
        </w:rPr>
        <w:t>JabberWok</w:t>
      </w:r>
      <w:proofErr w:type="spellEnd"/>
      <w:r w:rsidRPr="007B5D0C">
        <w:rPr>
          <w:rFonts w:cs="Arial"/>
          <w:szCs w:val="20"/>
        </w:rPr>
        <w:t>/</w:t>
      </w:r>
      <w:r>
        <w:rPr>
          <w:rFonts w:cs="Arial"/>
          <w:szCs w:val="20"/>
        </w:rPr>
        <w:t>W</w:t>
      </w:r>
      <w:r w:rsidRPr="007B5D0C">
        <w:rPr>
          <w:rFonts w:cs="Arial"/>
          <w:szCs w:val="20"/>
        </w:rPr>
        <w:t>ikimedia</w:t>
      </w:r>
      <w:r>
        <w:rPr>
          <w:rFonts w:cs="Arial"/>
          <w:szCs w:val="20"/>
        </w:rPr>
        <w:t xml:space="preserve"> C</w:t>
      </w:r>
      <w:r w:rsidRPr="007B5D0C">
        <w:rPr>
          <w:rFonts w:cs="Arial"/>
          <w:szCs w:val="20"/>
        </w:rPr>
        <w:t xml:space="preserve">ommons/ </w:t>
      </w:r>
      <w:hyperlink r:id="rId11" w:tgtFrame="_blank" w:history="1">
        <w:r w:rsidRPr="007B5D0C">
          <w:rPr>
            <w:rFonts w:cs="Arial"/>
            <w:szCs w:val="20"/>
          </w:rPr>
          <w:t>CC BY-SA 3.0</w:t>
        </w:r>
      </w:hyperlink>
    </w:p>
    <w:p w14:paraId="563E6227" w14:textId="77D7ED46" w:rsidR="008E656A" w:rsidRDefault="00BF6309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Balmer equation was generalised </w:t>
      </w:r>
      <w:r w:rsidR="00FF733B">
        <w:rPr>
          <w:rFonts w:ascii="Arial" w:hAnsi="Arial" w:cs="Arial"/>
        </w:rPr>
        <w:t>by Rydberg in order to describe the wavelengths of all of the spectral series</w:t>
      </w:r>
      <w:r w:rsidR="00D2799E">
        <w:rPr>
          <w:rFonts w:ascii="Arial" w:hAnsi="Arial" w:cs="Arial"/>
        </w:rPr>
        <w:t xml:space="preserve"> of hydrogen</w:t>
      </w:r>
      <w:r w:rsidR="00FF733B">
        <w:rPr>
          <w:rFonts w:ascii="Arial" w:hAnsi="Arial" w:cs="Arial"/>
        </w:rPr>
        <w:t xml:space="preserve">, including for instance the </w:t>
      </w:r>
      <w:proofErr w:type="spellStart"/>
      <w:r w:rsidR="00FF733B">
        <w:rPr>
          <w:rFonts w:ascii="Arial" w:hAnsi="Arial" w:cs="Arial"/>
        </w:rPr>
        <w:t>Paschen</w:t>
      </w:r>
      <w:proofErr w:type="spellEnd"/>
      <w:r w:rsidR="00FF733B">
        <w:rPr>
          <w:rFonts w:ascii="Arial" w:hAnsi="Arial" w:cs="Arial"/>
        </w:rPr>
        <w:t xml:space="preserve"> and Lyman series. The R</w:t>
      </w:r>
      <w:r w:rsidR="00D2799E">
        <w:rPr>
          <w:rFonts w:ascii="Arial" w:hAnsi="Arial" w:cs="Arial"/>
        </w:rPr>
        <w:t>ydberg equation is described as</w:t>
      </w:r>
      <w:bookmarkStart w:id="0" w:name="_GoBack"/>
      <w:r w:rsidR="00FF45C8">
        <w:rPr>
          <w:rFonts w:ascii="Arial" w:hAnsi="Arial" w:cs="Arial"/>
        </w:rPr>
        <w:t>:</w:t>
      </w:r>
      <w:bookmarkEnd w:id="0"/>
    </w:p>
    <w:p w14:paraId="32485599" w14:textId="77777777" w:rsidR="00FF733B" w:rsidRPr="00FF733B" w:rsidRDefault="00BF4253" w:rsidP="0025571D">
      <w:pPr>
        <w:jc w:val="both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H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Arial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,</m:t>
          </m:r>
        </m:oMath>
      </m:oMathPara>
    </w:p>
    <w:p w14:paraId="1C08A9D9" w14:textId="77777777" w:rsidR="00FF733B" w:rsidRDefault="00D2799E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F733B">
        <w:rPr>
          <w:rFonts w:ascii="Arial" w:hAnsi="Arial" w:cs="Arial"/>
        </w:rPr>
        <w:t xml:space="preserve">here λ </w:t>
      </w:r>
      <w:r w:rsidR="00FF733B" w:rsidRPr="00FF733B">
        <w:rPr>
          <w:rFonts w:ascii="Arial" w:hAnsi="Arial" w:cs="Arial"/>
        </w:rPr>
        <w:t>is the wavelength of electromagnetic radiation emitted in vacuum,</w:t>
      </w:r>
      <w:r w:rsidR="00FF733B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H</m:t>
            </m:r>
          </m:sub>
        </m:sSub>
      </m:oMath>
      <w:r w:rsidR="00FF733B" w:rsidRPr="00FF733B">
        <w:rPr>
          <w:rFonts w:ascii="Arial" w:hAnsi="Arial" w:cs="Arial"/>
        </w:rPr>
        <w:t xml:space="preserve"> is the</w:t>
      </w:r>
      <w:r w:rsidR="00FF733B">
        <w:rPr>
          <w:rFonts w:ascii="Arial" w:hAnsi="Arial" w:cs="Arial"/>
        </w:rPr>
        <w:t xml:space="preserve"> Rydberg constant for hydrogen with a value of </w:t>
      </w:r>
      <w:r w:rsidR="00FF733B" w:rsidRPr="00FF733B">
        <w:rPr>
          <w:rFonts w:ascii="Arial" w:hAnsi="Arial" w:cs="Arial"/>
        </w:rPr>
        <w:t>1.09</w:t>
      </w:r>
      <w:r w:rsidR="00FF733B">
        <w:rPr>
          <w:rFonts w:ascii="Arial" w:hAnsi="Arial" w:cs="Arial"/>
        </w:rPr>
        <w:t>7</w:t>
      </w:r>
      <w:r w:rsidR="00FF733B" w:rsidRPr="00FF733B">
        <w:rPr>
          <w:rFonts w:ascii="Arial" w:hAnsi="Arial" w:cs="Arial"/>
        </w:rPr>
        <w:t>×10</w:t>
      </w:r>
      <w:r w:rsidR="00FF733B" w:rsidRPr="00FF733B">
        <w:rPr>
          <w:rFonts w:ascii="Arial" w:hAnsi="Arial" w:cs="Arial"/>
          <w:vertAlign w:val="superscript"/>
        </w:rPr>
        <w:t>7</w:t>
      </w:r>
      <w:r w:rsidR="00FF733B" w:rsidRPr="00FF733B">
        <w:rPr>
          <w:rFonts w:ascii="Arial" w:hAnsi="Arial" w:cs="Arial"/>
        </w:rPr>
        <w:t>m</w:t>
      </w:r>
      <w:r w:rsidR="00FF733B" w:rsidRPr="00FF733B">
        <w:rPr>
          <w:rFonts w:ascii="Arial" w:hAnsi="Arial" w:cs="Arial"/>
          <w:vertAlign w:val="superscript"/>
        </w:rPr>
        <w:t>−1</w:t>
      </w:r>
      <w:r w:rsidR="00FF733B">
        <w:rPr>
          <w:rFonts w:ascii="Arial" w:hAnsi="Arial" w:cs="Arial"/>
        </w:rPr>
        <w:t xml:space="preserve">,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 w:rsidR="00716773">
        <w:rPr>
          <w:rFonts w:ascii="Arial" w:eastAsiaTheme="minorEastAsia" w:hAnsi="Arial" w:cs="Arial"/>
        </w:rPr>
        <w:t xml:space="preserve"> and </w:t>
      </w:r>
      <w:r w:rsidR="00716773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716773">
        <w:rPr>
          <w:rFonts w:ascii="Arial" w:eastAsiaTheme="minorEastAsia" w:hAnsi="Arial" w:cs="Arial"/>
        </w:rPr>
        <w:t xml:space="preserve"> correspond to the </w:t>
      </w:r>
      <w:r w:rsidR="001070E6">
        <w:rPr>
          <w:rFonts w:ascii="Arial" w:eastAsiaTheme="minorEastAsia" w:hAnsi="Arial" w:cs="Arial"/>
        </w:rPr>
        <w:t>final</w:t>
      </w:r>
      <w:r w:rsidR="00716773">
        <w:rPr>
          <w:rFonts w:ascii="Arial" w:eastAsiaTheme="minorEastAsia" w:hAnsi="Arial" w:cs="Arial"/>
        </w:rPr>
        <w:t xml:space="preserve"> and </w:t>
      </w:r>
      <w:r w:rsidR="001070E6">
        <w:rPr>
          <w:rFonts w:ascii="Arial" w:eastAsiaTheme="minorEastAsia" w:hAnsi="Arial" w:cs="Arial"/>
        </w:rPr>
        <w:t>initial</w:t>
      </w:r>
      <w:r w:rsidR="00716773">
        <w:rPr>
          <w:rFonts w:ascii="Arial" w:eastAsiaTheme="minorEastAsia" w:hAnsi="Arial" w:cs="Arial"/>
        </w:rPr>
        <w:t xml:space="preserve"> energy levels of the transition.</w:t>
      </w:r>
      <w:r w:rsidR="00FF733B">
        <w:rPr>
          <w:rFonts w:ascii="Arial" w:hAnsi="Arial" w:cs="Arial"/>
        </w:rPr>
        <w:t xml:space="preserve"> </w:t>
      </w:r>
    </w:p>
    <w:p w14:paraId="1368A674" w14:textId="77777777" w:rsidR="00C31A1E" w:rsidRDefault="00C31A1E" w:rsidP="0025571D">
      <w:pPr>
        <w:jc w:val="both"/>
        <w:rPr>
          <w:rFonts w:ascii="Arial" w:hAnsi="Arial" w:cs="Arial"/>
        </w:rPr>
      </w:pPr>
    </w:p>
    <w:p w14:paraId="30C66198" w14:textId="77777777" w:rsidR="001070E6" w:rsidRDefault="00C31A1E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Example 1: </w:t>
      </w:r>
    </w:p>
    <w:p w14:paraId="459AD990" w14:textId="77777777" w:rsidR="00C31A1E" w:rsidRDefault="00C31A1E" w:rsidP="00255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Determine the wavelength of the 2</w:t>
      </w:r>
      <w:r w:rsidRPr="00C31A1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line in the Lyman series (</w:t>
      </w:r>
      <w:r w:rsidR="001070E6">
        <w:rPr>
          <w:rFonts w:ascii="Arial" w:hAnsi="Arial" w:cs="Arial"/>
        </w:rPr>
        <w:t xml:space="preserve">electron </w:t>
      </w:r>
      <w:r>
        <w:rPr>
          <w:rFonts w:ascii="Arial" w:hAnsi="Arial" w:cs="Arial"/>
        </w:rPr>
        <w:t>transition from n = 3 to n = 1)</w:t>
      </w:r>
      <w:r w:rsidR="00D2799E">
        <w:rPr>
          <w:rFonts w:ascii="Arial" w:hAnsi="Arial" w:cs="Arial"/>
        </w:rPr>
        <w:t>, known as Lyman β</w:t>
      </w:r>
    </w:p>
    <w:p w14:paraId="60993EE1" w14:textId="77777777" w:rsidR="00C31A1E" w:rsidRPr="00C31A1E" w:rsidRDefault="00BF4253" w:rsidP="00C31A1E">
      <w:pPr>
        <w:jc w:val="center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H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Arial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14:paraId="720E2835" w14:textId="77777777" w:rsidR="00C31A1E" w:rsidRPr="001070E6" w:rsidRDefault="00BF4253" w:rsidP="00C31A1E">
      <w:pPr>
        <w:jc w:val="both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  <m:r>
            <w:rPr>
              <w:rFonts w:ascii="Cambria Math" w:hAnsi="Cambria Math" w:cs="Arial"/>
            </w:rPr>
            <m:t>= 1.097×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</w:rPr>
                <m:t>7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24297DBB" w14:textId="77777777" w:rsidR="001070E6" w:rsidRPr="001070E6" w:rsidRDefault="00BF4253" w:rsidP="001070E6">
      <w:pPr>
        <w:jc w:val="both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  <m:r>
            <w:rPr>
              <w:rFonts w:ascii="Cambria Math" w:hAnsi="Cambria Math" w:cs="Arial"/>
            </w:rPr>
            <m:t>= 1.097×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</w:rPr>
                <m:t>7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e>
          </m:d>
        </m:oMath>
      </m:oMathPara>
    </w:p>
    <w:p w14:paraId="66C927CD" w14:textId="77777777" w:rsidR="001070E6" w:rsidRPr="001070E6" w:rsidRDefault="001070E6" w:rsidP="001070E6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λ=1.0255</m:t>
          </m:r>
          <m:r>
            <w:rPr>
              <w:rFonts w:ascii="Cambria Math" w:hAnsi="Cambria Math" w:cs="Arial"/>
            </w:rPr>
            <m:t>×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</w:rPr>
                <m:t>-7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</w:rPr>
            <m:t>m</m:t>
          </m:r>
        </m:oMath>
      </m:oMathPara>
    </w:p>
    <w:p w14:paraId="4E08DE81" w14:textId="77777777" w:rsidR="001070E6" w:rsidRPr="001070E6" w:rsidRDefault="001070E6" w:rsidP="001070E6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λ=103 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>nm</m:t>
          </m:r>
        </m:oMath>
      </m:oMathPara>
    </w:p>
    <w:p w14:paraId="454CDE71" w14:textId="77777777" w:rsidR="001070E6" w:rsidRPr="001070E6" w:rsidRDefault="001070E6" w:rsidP="00C31A1E">
      <w:pPr>
        <w:jc w:val="both"/>
        <w:rPr>
          <w:rFonts w:ascii="Arial" w:eastAsiaTheme="minorEastAsia" w:hAnsi="Arial" w:cs="Arial"/>
        </w:rPr>
      </w:pPr>
    </w:p>
    <w:p w14:paraId="30FE7E40" w14:textId="77777777" w:rsidR="001070E6" w:rsidRPr="001070E6" w:rsidRDefault="001070E6" w:rsidP="00C31A1E">
      <w:pPr>
        <w:jc w:val="both"/>
        <w:rPr>
          <w:rFonts w:ascii="Arial" w:eastAsiaTheme="minorEastAsia" w:hAnsi="Arial" w:cs="Arial"/>
        </w:rPr>
      </w:pPr>
    </w:p>
    <w:p w14:paraId="2E3E37FD" w14:textId="77777777" w:rsidR="00C31A1E" w:rsidRPr="00741FC3" w:rsidRDefault="00C31A1E" w:rsidP="00C31A1E">
      <w:pPr>
        <w:jc w:val="center"/>
        <w:rPr>
          <w:rFonts w:ascii="Arial" w:hAnsi="Arial" w:cs="Arial"/>
        </w:rPr>
      </w:pPr>
    </w:p>
    <w:sectPr w:rsidR="00C31A1E" w:rsidRPr="00741FC3" w:rsidSect="00650879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B674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67484" w16cid:durableId="2061E0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695B" w14:textId="77777777" w:rsidR="00BF4253" w:rsidRDefault="00BF4253" w:rsidP="00CA44B8">
      <w:pPr>
        <w:spacing w:after="0" w:line="240" w:lineRule="auto"/>
      </w:pPr>
      <w:r>
        <w:separator/>
      </w:r>
    </w:p>
  </w:endnote>
  <w:endnote w:type="continuationSeparator" w:id="0">
    <w:p w14:paraId="18EAD4C5" w14:textId="77777777" w:rsidR="00BF4253" w:rsidRDefault="00BF4253" w:rsidP="00CA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5F52" w14:textId="77777777" w:rsidR="00CA44B8" w:rsidRDefault="00CA44B8" w:rsidP="00CA44B8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Scott Cornish,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0331">
      <w:rPr>
        <w:noProof/>
      </w:rPr>
      <w:t>2</w:t>
    </w:r>
    <w:r>
      <w:fldChar w:fldCharType="end"/>
    </w:r>
  </w:p>
  <w:p w14:paraId="13E8CC18" w14:textId="77777777" w:rsidR="00CA44B8" w:rsidRDefault="00CA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54E7" w14:textId="77777777" w:rsidR="00BF4253" w:rsidRDefault="00BF4253" w:rsidP="00CA44B8">
      <w:pPr>
        <w:spacing w:after="0" w:line="240" w:lineRule="auto"/>
      </w:pPr>
      <w:r>
        <w:separator/>
      </w:r>
    </w:p>
  </w:footnote>
  <w:footnote w:type="continuationSeparator" w:id="0">
    <w:p w14:paraId="4A49DA13" w14:textId="77777777" w:rsidR="00BF4253" w:rsidRDefault="00BF4253" w:rsidP="00CA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6ED2" w14:textId="77777777" w:rsidR="00FF45C8" w:rsidRDefault="00FF45C8" w:rsidP="00FF45C8">
    <w:pPr>
      <w:pStyle w:val="HeaderFirst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E170E" wp14:editId="08FA0C50">
          <wp:simplePos x="0" y="0"/>
          <wp:positionH relativeFrom="page">
            <wp:posOffset>685800</wp:posOffset>
          </wp:positionH>
          <wp:positionV relativeFrom="page">
            <wp:posOffset>171238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HSC Physics Module 8 – </w:t>
    </w:r>
  </w:p>
  <w:p w14:paraId="32B114CE" w14:textId="77777777" w:rsidR="00FF45C8" w:rsidRDefault="00FF45C8" w:rsidP="00FF45C8">
    <w:pPr>
      <w:pStyle w:val="HeaderFirstPage"/>
    </w:pPr>
    <w:r>
      <w:t>From the Universe to the Atom</w:t>
    </w:r>
  </w:p>
  <w:p w14:paraId="3B686D8F" w14:textId="37382984" w:rsidR="00CA44B8" w:rsidRDefault="00CA4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A12"/>
    <w:multiLevelType w:val="multilevel"/>
    <w:tmpl w:val="D61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ky Tzioumis">
    <w15:presenceInfo w15:providerId="AD" w15:userId="S::vicky.tzioumis@sydney.edu.au::ebd0afdd-f20a-4334-8e37-d58bcbccf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F"/>
    <w:rsid w:val="001070E6"/>
    <w:rsid w:val="0016332C"/>
    <w:rsid w:val="00204981"/>
    <w:rsid w:val="0025571D"/>
    <w:rsid w:val="002B42AC"/>
    <w:rsid w:val="002C3F20"/>
    <w:rsid w:val="002E20AF"/>
    <w:rsid w:val="003A2566"/>
    <w:rsid w:val="00490331"/>
    <w:rsid w:val="00504F08"/>
    <w:rsid w:val="006018E5"/>
    <w:rsid w:val="00635804"/>
    <w:rsid w:val="00650879"/>
    <w:rsid w:val="00716773"/>
    <w:rsid w:val="00741FC3"/>
    <w:rsid w:val="00780093"/>
    <w:rsid w:val="00833E29"/>
    <w:rsid w:val="00882005"/>
    <w:rsid w:val="008E656A"/>
    <w:rsid w:val="00985969"/>
    <w:rsid w:val="009B2C22"/>
    <w:rsid w:val="00A11150"/>
    <w:rsid w:val="00A75058"/>
    <w:rsid w:val="00B85CF4"/>
    <w:rsid w:val="00B902A9"/>
    <w:rsid w:val="00BF1833"/>
    <w:rsid w:val="00BF4253"/>
    <w:rsid w:val="00BF6309"/>
    <w:rsid w:val="00BF7795"/>
    <w:rsid w:val="00C31A1E"/>
    <w:rsid w:val="00CA44B8"/>
    <w:rsid w:val="00D2799E"/>
    <w:rsid w:val="00D65221"/>
    <w:rsid w:val="00FC4E9A"/>
    <w:rsid w:val="00FF45C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3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879"/>
    <w:pPr>
      <w:keepNext/>
      <w:keepLines/>
      <w:spacing w:before="120" w:after="0" w:line="240" w:lineRule="auto"/>
      <w:outlineLvl w:val="0"/>
    </w:pPr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F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5221"/>
    <w:rPr>
      <w:color w:val="808080"/>
    </w:rPr>
  </w:style>
  <w:style w:type="paragraph" w:customStyle="1" w:styleId="HeaderFirstPage">
    <w:name w:val="HeaderFirstPage"/>
    <w:basedOn w:val="Header"/>
    <w:rsid w:val="00650879"/>
    <w:pPr>
      <w:jc w:val="right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79"/>
  </w:style>
  <w:style w:type="character" w:customStyle="1" w:styleId="Heading1Char">
    <w:name w:val="Heading 1 Char"/>
    <w:basedOn w:val="DefaultParagraphFont"/>
    <w:link w:val="Heading1"/>
    <w:rsid w:val="00650879"/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650879"/>
    <w:rPr>
      <w:b/>
      <w:bCs/>
      <w:smallCaps/>
      <w:color w:val="4F81BD" w:themeColor="accent1"/>
      <w:spacing w:val="5"/>
    </w:rPr>
  </w:style>
  <w:style w:type="paragraph" w:styleId="Footer">
    <w:name w:val="footer"/>
    <w:basedOn w:val="Normal"/>
    <w:link w:val="FooterChar"/>
    <w:unhideWhenUsed/>
    <w:rsid w:val="00C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44B8"/>
  </w:style>
  <w:style w:type="character" w:styleId="CommentReference">
    <w:name w:val="annotation reference"/>
    <w:basedOn w:val="DefaultParagraphFont"/>
    <w:uiPriority w:val="99"/>
    <w:semiHidden/>
    <w:unhideWhenUsed/>
    <w:rsid w:val="00F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879"/>
    <w:pPr>
      <w:keepNext/>
      <w:keepLines/>
      <w:spacing w:before="120" w:after="0" w:line="240" w:lineRule="auto"/>
      <w:outlineLvl w:val="0"/>
    </w:pPr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F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5221"/>
    <w:rPr>
      <w:color w:val="808080"/>
    </w:rPr>
  </w:style>
  <w:style w:type="paragraph" w:customStyle="1" w:styleId="HeaderFirstPage">
    <w:name w:val="HeaderFirstPage"/>
    <w:basedOn w:val="Header"/>
    <w:rsid w:val="00650879"/>
    <w:pPr>
      <w:jc w:val="right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79"/>
  </w:style>
  <w:style w:type="character" w:customStyle="1" w:styleId="Heading1Char">
    <w:name w:val="Heading 1 Char"/>
    <w:basedOn w:val="DefaultParagraphFont"/>
    <w:link w:val="Heading1"/>
    <w:rsid w:val="00650879"/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650879"/>
    <w:rPr>
      <w:b/>
      <w:bCs/>
      <w:smallCaps/>
      <w:color w:val="4F81BD" w:themeColor="accent1"/>
      <w:spacing w:val="5"/>
    </w:rPr>
  </w:style>
  <w:style w:type="paragraph" w:styleId="Footer">
    <w:name w:val="footer"/>
    <w:basedOn w:val="Normal"/>
    <w:link w:val="FooterChar"/>
    <w:unhideWhenUsed/>
    <w:rsid w:val="00C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44B8"/>
  </w:style>
  <w:style w:type="character" w:styleId="CommentReference">
    <w:name w:val="annotation reference"/>
    <w:basedOn w:val="DefaultParagraphFont"/>
    <w:uiPriority w:val="99"/>
    <w:semiHidden/>
    <w:unhideWhenUsed/>
    <w:rsid w:val="00F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2019-04-18T03:05:00Z</dcterms:created>
  <dcterms:modified xsi:type="dcterms:W3CDTF">2019-04-18T03:05:00Z</dcterms:modified>
</cp:coreProperties>
</file>